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2A" w:rsidRDefault="00B14C2A">
      <w:bookmarkStart w:id="0" w:name="_GoBack"/>
      <w:bookmarkEnd w:id="0"/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4248"/>
        <w:gridCol w:w="1558"/>
        <w:gridCol w:w="4254"/>
      </w:tblGrid>
      <w:tr w:rsidR="00B14C2A">
        <w:trPr>
          <w:trHeight w:val="1144"/>
        </w:trPr>
        <w:tc>
          <w:tcPr>
            <w:tcW w:w="4248" w:type="dxa"/>
          </w:tcPr>
          <w:p w:rsidR="00B14C2A" w:rsidRDefault="00576BD1">
            <w:pPr>
              <w:widowControl w:val="0"/>
              <w:ind w:left="0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23875" cy="647700"/>
                  <wp:effectExtent l="0" t="0" r="0" b="0"/>
                  <wp:docPr id="1" name="Рисунок 1" descr="Описание: C:\Documents and Settings\ilienaanva\Рабочий стол\герб новый\Оренбург-герб ВЕКТОР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C:\Documents and Settings\ilienaanva\Рабочий стол\герб новый\Оренбург-герб ВЕКТОР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</w:tcPr>
          <w:p w:rsidR="00B14C2A" w:rsidRDefault="00B14C2A">
            <w:pPr>
              <w:widowControl w:val="0"/>
              <w:ind w:left="-75"/>
            </w:pPr>
          </w:p>
        </w:tc>
      </w:tr>
      <w:tr w:rsidR="00B14C2A">
        <w:trPr>
          <w:trHeight w:val="2457"/>
        </w:trPr>
        <w:tc>
          <w:tcPr>
            <w:tcW w:w="4248" w:type="dxa"/>
          </w:tcPr>
          <w:p w:rsidR="00B14C2A" w:rsidRDefault="00576BD1">
            <w:pPr>
              <w:pStyle w:val="1"/>
              <w:widowControl w:val="0"/>
              <w:spacing w:line="276" w:lineRule="auto"/>
              <w:ind w:left="-32"/>
              <w:rPr>
                <w:spacing w:val="26"/>
                <w:szCs w:val="28"/>
              </w:rPr>
            </w:pPr>
            <w:r>
              <w:rPr>
                <w:spacing w:val="26"/>
                <w:szCs w:val="28"/>
              </w:rPr>
              <w:t>СЧЕТНАЯ ПАЛАТА</w:t>
            </w:r>
            <w:r>
              <w:rPr>
                <w:spacing w:val="26"/>
                <w:szCs w:val="28"/>
              </w:rPr>
              <w:br/>
              <w:t>ГОРОДА ОРЕНБУРГА</w:t>
            </w:r>
          </w:p>
          <w:p w:rsidR="00B14C2A" w:rsidRDefault="00576BD1">
            <w:pPr>
              <w:widowControl w:val="0"/>
              <w:spacing w:line="276" w:lineRule="auto"/>
              <w:ind w:left="-32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(Счетная палата г. Оренбурга)</w:t>
            </w:r>
          </w:p>
          <w:p w:rsidR="00B14C2A" w:rsidRDefault="00576BD1">
            <w:pPr>
              <w:widowControl w:val="0"/>
              <w:spacing w:line="276" w:lineRule="auto"/>
              <w:ind w:left="-32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460000, г. Оренбург, ул. Советская, д. 60</w:t>
            </w:r>
          </w:p>
          <w:p w:rsidR="00B14C2A" w:rsidRDefault="00576BD1">
            <w:pPr>
              <w:widowControl w:val="0"/>
              <w:spacing w:line="276" w:lineRule="auto"/>
              <w:ind w:left="-32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телефон: (3532) 98-70-18, 98-73-36,</w:t>
            </w:r>
          </w:p>
          <w:p w:rsidR="00B14C2A" w:rsidRDefault="00576BD1">
            <w:pPr>
              <w:widowControl w:val="0"/>
              <w:spacing w:line="276" w:lineRule="auto"/>
              <w:ind w:left="-32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  <w:lang w:val="en-US"/>
              </w:rPr>
              <w:t>E</w:t>
            </w:r>
            <w:r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  <w:lang w:val="en-US"/>
              </w:rPr>
              <w:t>mail</w:t>
            </w:r>
            <w:r>
              <w:rPr>
                <w:color w:val="000000" w:themeColor="text1"/>
                <w:sz w:val="21"/>
                <w:szCs w:val="21"/>
              </w:rPr>
              <w:t xml:space="preserve">: </w:t>
            </w:r>
            <w:hyperlink r:id="rId10">
              <w:r>
                <w:rPr>
                  <w:rStyle w:val="a7"/>
                  <w:color w:val="000000" w:themeColor="text1"/>
                  <w:sz w:val="21"/>
                  <w:szCs w:val="21"/>
                  <w:lang w:val="en-US"/>
                </w:rPr>
                <w:t>oren</w:t>
              </w:r>
              <w:r>
                <w:rPr>
                  <w:rStyle w:val="a7"/>
                  <w:color w:val="000000" w:themeColor="text1"/>
                  <w:sz w:val="21"/>
                  <w:szCs w:val="21"/>
                </w:rPr>
                <w:t>.</w:t>
              </w:r>
              <w:r>
                <w:rPr>
                  <w:rStyle w:val="a7"/>
                  <w:color w:val="000000" w:themeColor="text1"/>
                  <w:sz w:val="21"/>
                  <w:szCs w:val="21"/>
                  <w:lang w:val="en-US"/>
                </w:rPr>
                <w:t>spalata</w:t>
              </w:r>
              <w:r>
                <w:rPr>
                  <w:rStyle w:val="a7"/>
                  <w:color w:val="000000" w:themeColor="text1"/>
                  <w:sz w:val="21"/>
                  <w:szCs w:val="21"/>
                </w:rPr>
                <w:t>@</w:t>
              </w:r>
              <w:r>
                <w:rPr>
                  <w:rStyle w:val="a7"/>
                  <w:color w:val="000000" w:themeColor="text1"/>
                  <w:sz w:val="21"/>
                  <w:szCs w:val="21"/>
                  <w:lang w:val="en-US"/>
                </w:rPr>
                <w:t>yandex</w:t>
              </w:r>
              <w:r>
                <w:rPr>
                  <w:rStyle w:val="a7"/>
                  <w:color w:val="000000" w:themeColor="text1"/>
                  <w:sz w:val="21"/>
                  <w:szCs w:val="21"/>
                </w:rPr>
                <w:t>.</w:t>
              </w:r>
              <w:r>
                <w:rPr>
                  <w:rStyle w:val="a7"/>
                  <w:color w:val="000000" w:themeColor="text1"/>
                  <w:sz w:val="21"/>
                  <w:szCs w:val="21"/>
                  <w:lang w:val="en-US"/>
                </w:rPr>
                <w:t>ru</w:t>
              </w:r>
            </w:hyperlink>
          </w:p>
          <w:p w:rsidR="00B14C2A" w:rsidRDefault="00576BD1">
            <w:pPr>
              <w:widowControl w:val="0"/>
              <w:spacing w:line="276" w:lineRule="auto"/>
              <w:ind w:left="-32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  <w:lang w:val="en-US"/>
              </w:rPr>
              <w:t>http</w:t>
            </w:r>
            <w:r>
              <w:rPr>
                <w:color w:val="000000" w:themeColor="text1"/>
                <w:sz w:val="21"/>
                <w:szCs w:val="21"/>
              </w:rPr>
              <w:t>://</w:t>
            </w:r>
            <w:r>
              <w:rPr>
                <w:color w:val="000000" w:themeColor="text1"/>
                <w:sz w:val="21"/>
                <w:szCs w:val="21"/>
                <w:lang w:val="en-US"/>
              </w:rPr>
              <w:t>www</w:t>
            </w:r>
            <w:r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  <w:lang w:val="en-US"/>
              </w:rPr>
              <w:t>orenburg</w:t>
            </w:r>
            <w:r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  <w:lang w:val="en-US"/>
              </w:rPr>
              <w:t>ru</w:t>
            </w:r>
          </w:p>
          <w:p w:rsidR="00B14C2A" w:rsidRDefault="005D0324">
            <w:pPr>
              <w:widowControl w:val="0"/>
              <w:ind w:left="-32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0" allowOverlap="1" wp14:anchorId="6B10DBAC" wp14:editId="00C851B8">
                  <wp:simplePos x="0" y="0"/>
                  <wp:positionH relativeFrom="character">
                    <wp:posOffset>-1228725</wp:posOffset>
                  </wp:positionH>
                  <wp:positionV relativeFrom="line">
                    <wp:posOffset>66040</wp:posOffset>
                  </wp:positionV>
                  <wp:extent cx="2924175" cy="360045"/>
                  <wp:effectExtent l="0" t="0" r="9525" b="1905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8" w:type="dxa"/>
            <w:vMerge w:val="restart"/>
          </w:tcPr>
          <w:p w:rsidR="00B14C2A" w:rsidRDefault="00B14C2A">
            <w:pPr>
              <w:widowControl w:val="0"/>
              <w:ind w:left="0"/>
              <w:rPr>
                <w:sz w:val="28"/>
                <w:lang w:val="en-US"/>
              </w:rPr>
            </w:pPr>
          </w:p>
        </w:tc>
        <w:tc>
          <w:tcPr>
            <w:tcW w:w="4254" w:type="dxa"/>
            <w:vMerge w:val="restart"/>
          </w:tcPr>
          <w:p w:rsidR="00B14C2A" w:rsidRDefault="00576BD1">
            <w:pPr>
              <w:widowControl w:val="0"/>
              <w:tabs>
                <w:tab w:val="left" w:pos="611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Оренбургского городского Совета</w:t>
            </w:r>
          </w:p>
          <w:p w:rsidR="00B14C2A" w:rsidRDefault="00B14C2A">
            <w:pPr>
              <w:widowControl w:val="0"/>
              <w:tabs>
                <w:tab w:val="left" w:pos="908"/>
              </w:tabs>
              <w:ind w:left="0"/>
              <w:rPr>
                <w:sz w:val="16"/>
                <w:szCs w:val="16"/>
              </w:rPr>
            </w:pPr>
          </w:p>
          <w:p w:rsidR="00B14C2A" w:rsidRDefault="00576BD1">
            <w:pPr>
              <w:widowControl w:val="0"/>
              <w:tabs>
                <w:tab w:val="left" w:pos="908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Березневой О.П.</w:t>
            </w:r>
          </w:p>
          <w:p w:rsidR="00B14C2A" w:rsidRDefault="00B14C2A">
            <w:pPr>
              <w:widowControl w:val="0"/>
              <w:tabs>
                <w:tab w:val="left" w:pos="908"/>
                <w:tab w:val="left" w:pos="5728"/>
              </w:tabs>
              <w:ind w:left="0"/>
              <w:rPr>
                <w:sz w:val="28"/>
                <w:szCs w:val="28"/>
              </w:rPr>
            </w:pPr>
          </w:p>
          <w:p w:rsidR="00B14C2A" w:rsidRDefault="00B14C2A">
            <w:pPr>
              <w:widowControl w:val="0"/>
              <w:tabs>
                <w:tab w:val="left" w:pos="908"/>
                <w:tab w:val="left" w:pos="5728"/>
              </w:tabs>
              <w:ind w:left="0"/>
              <w:rPr>
                <w:sz w:val="28"/>
                <w:szCs w:val="28"/>
              </w:rPr>
            </w:pPr>
          </w:p>
          <w:p w:rsidR="00B14C2A" w:rsidRDefault="00576BD1">
            <w:pPr>
              <w:widowControl w:val="0"/>
              <w:tabs>
                <w:tab w:val="left" w:pos="1050"/>
                <w:tab w:val="left" w:pos="5019"/>
                <w:tab w:val="left" w:pos="5562"/>
              </w:tabs>
              <w:spacing w:line="276" w:lineRule="auto"/>
              <w:ind w:left="5" w:right="-74"/>
              <w:rPr>
                <w:sz w:val="28"/>
              </w:rPr>
            </w:pPr>
            <w:r>
              <w:rPr>
                <w:sz w:val="28"/>
              </w:rPr>
              <w:t>Первому заместителю</w:t>
            </w:r>
          </w:p>
          <w:p w:rsidR="00B14C2A" w:rsidRDefault="00576BD1">
            <w:pPr>
              <w:widowControl w:val="0"/>
              <w:tabs>
                <w:tab w:val="left" w:pos="1050"/>
                <w:tab w:val="left" w:pos="5019"/>
                <w:tab w:val="left" w:pos="5562"/>
              </w:tabs>
              <w:spacing w:line="276" w:lineRule="auto"/>
              <w:ind w:left="5" w:right="-74"/>
              <w:rPr>
                <w:sz w:val="28"/>
              </w:rPr>
            </w:pPr>
            <w:r>
              <w:rPr>
                <w:sz w:val="28"/>
              </w:rPr>
              <w:t>Главы города Оренбурга</w:t>
            </w:r>
          </w:p>
          <w:p w:rsidR="00B14C2A" w:rsidRDefault="00B14C2A">
            <w:pPr>
              <w:widowControl w:val="0"/>
              <w:tabs>
                <w:tab w:val="left" w:pos="1050"/>
                <w:tab w:val="left" w:pos="5019"/>
                <w:tab w:val="left" w:pos="5562"/>
              </w:tabs>
              <w:spacing w:line="276" w:lineRule="auto"/>
              <w:ind w:left="5" w:right="-74"/>
              <w:rPr>
                <w:sz w:val="16"/>
              </w:rPr>
            </w:pPr>
          </w:p>
          <w:p w:rsidR="00B14C2A" w:rsidRDefault="00576BD1">
            <w:pPr>
              <w:widowControl w:val="0"/>
              <w:tabs>
                <w:tab w:val="left" w:pos="1050"/>
                <w:tab w:val="left" w:pos="5019"/>
              </w:tabs>
              <w:spacing w:line="276" w:lineRule="auto"/>
              <w:ind w:left="5" w:right="1168"/>
              <w:rPr>
                <w:sz w:val="28"/>
                <w:lang w:val="en-US"/>
              </w:rPr>
            </w:pPr>
            <w:r>
              <w:rPr>
                <w:sz w:val="28"/>
              </w:rPr>
              <w:t>Объедкову В.П.</w:t>
            </w:r>
          </w:p>
        </w:tc>
      </w:tr>
      <w:tr w:rsidR="00B14C2A">
        <w:trPr>
          <w:trHeight w:val="418"/>
        </w:trPr>
        <w:tc>
          <w:tcPr>
            <w:tcW w:w="4248" w:type="dxa"/>
          </w:tcPr>
          <w:p w:rsidR="00B14C2A" w:rsidRDefault="00576BD1">
            <w:pPr>
              <w:widowControl w:val="0"/>
              <w:spacing w:line="276" w:lineRule="auto"/>
              <w:ind w:left="-3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558" w:type="dxa"/>
            <w:vMerge/>
          </w:tcPr>
          <w:p w:rsidR="00B14C2A" w:rsidRDefault="00B14C2A">
            <w:pPr>
              <w:widowControl w:val="0"/>
              <w:ind w:left="0"/>
              <w:rPr>
                <w:sz w:val="28"/>
              </w:rPr>
            </w:pPr>
          </w:p>
        </w:tc>
        <w:tc>
          <w:tcPr>
            <w:tcW w:w="4254" w:type="dxa"/>
            <w:vMerge/>
          </w:tcPr>
          <w:p w:rsidR="00B14C2A" w:rsidRDefault="00B14C2A">
            <w:pPr>
              <w:widowControl w:val="0"/>
              <w:ind w:left="0"/>
              <w:rPr>
                <w:sz w:val="28"/>
              </w:rPr>
            </w:pPr>
          </w:p>
        </w:tc>
      </w:tr>
      <w:tr w:rsidR="00B14C2A">
        <w:trPr>
          <w:trHeight w:val="139"/>
        </w:trPr>
        <w:tc>
          <w:tcPr>
            <w:tcW w:w="4248" w:type="dxa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 № Вн.01-02/122 от 30.04.2025</w:t>
            </w:r>
          </w:p>
          <w:p w:rsidR="00B14C2A" w:rsidRDefault="00B14C2A">
            <w:pPr>
              <w:widowControl w:val="0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</w:tcPr>
          <w:p w:rsidR="00B14C2A" w:rsidRDefault="00B14C2A">
            <w:pPr>
              <w:widowControl w:val="0"/>
              <w:ind w:left="0"/>
              <w:rPr>
                <w:sz w:val="28"/>
              </w:rPr>
            </w:pPr>
          </w:p>
        </w:tc>
        <w:tc>
          <w:tcPr>
            <w:tcW w:w="4254" w:type="dxa"/>
            <w:vMerge/>
          </w:tcPr>
          <w:p w:rsidR="00B14C2A" w:rsidRDefault="00B14C2A">
            <w:pPr>
              <w:widowControl w:val="0"/>
              <w:ind w:left="0"/>
              <w:rPr>
                <w:sz w:val="28"/>
              </w:rPr>
            </w:pPr>
          </w:p>
        </w:tc>
      </w:tr>
      <w:tr w:rsidR="00B14C2A">
        <w:trPr>
          <w:trHeight w:val="775"/>
        </w:trPr>
        <w:tc>
          <w:tcPr>
            <w:tcW w:w="4248" w:type="dxa"/>
          </w:tcPr>
          <w:p w:rsidR="00B14C2A" w:rsidRDefault="00576BD1">
            <w:pPr>
              <w:widowControl w:val="0"/>
              <w:ind w:left="0" w:right="2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на проект решения</w:t>
            </w:r>
          </w:p>
          <w:p w:rsidR="00B14C2A" w:rsidRDefault="00576BD1">
            <w:pPr>
              <w:widowControl w:val="0"/>
              <w:ind w:left="0" w:right="20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Оренбургского городского Совета «Об исполнении бюджета города Оренбурга за 2024 год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558" w:type="dxa"/>
            <w:vMerge/>
          </w:tcPr>
          <w:p w:rsidR="00B14C2A" w:rsidRDefault="00B14C2A">
            <w:pPr>
              <w:widowControl w:val="0"/>
              <w:ind w:left="0"/>
              <w:rPr>
                <w:sz w:val="28"/>
              </w:rPr>
            </w:pPr>
          </w:p>
        </w:tc>
        <w:tc>
          <w:tcPr>
            <w:tcW w:w="4254" w:type="dxa"/>
            <w:vMerge/>
          </w:tcPr>
          <w:p w:rsidR="00B14C2A" w:rsidRDefault="00B14C2A">
            <w:pPr>
              <w:widowControl w:val="0"/>
              <w:ind w:left="0"/>
              <w:rPr>
                <w:sz w:val="28"/>
              </w:rPr>
            </w:pPr>
          </w:p>
        </w:tc>
      </w:tr>
    </w:tbl>
    <w:p w:rsidR="00B14C2A" w:rsidRDefault="00B14C2A">
      <w:pPr>
        <w:ind w:left="0" w:firstLine="561"/>
        <w:contextualSpacing/>
        <w:rPr>
          <w:sz w:val="16"/>
          <w:szCs w:val="16"/>
        </w:rPr>
      </w:pPr>
    </w:p>
    <w:p w:rsidR="00B14C2A" w:rsidRDefault="00B14C2A">
      <w:pPr>
        <w:ind w:left="0" w:firstLine="561"/>
        <w:contextualSpacing/>
        <w:rPr>
          <w:sz w:val="16"/>
          <w:szCs w:val="16"/>
        </w:rPr>
      </w:pPr>
    </w:p>
    <w:p w:rsidR="00B14C2A" w:rsidRDefault="00B14C2A">
      <w:pPr>
        <w:ind w:left="0" w:firstLine="709"/>
        <w:contextualSpacing/>
        <w:jc w:val="both"/>
        <w:rPr>
          <w:sz w:val="16"/>
          <w:szCs w:val="16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157 Бюджетного кодекса Российской Федерации и подпункта 8.1 пункта 8 Положения о Счетной палате города Оренбурга, утвержденного решением Оренбургского городского Совета от 06.09.2011 № 265, Счетной палатой города Оренбурга (далее – Счетная палата) проведена экспертиза проекта решения Оренбургского городского Совета «Об исполнении бюджета города Оренбурга за 2024 год» (далее – Проект решения).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Предлагаемые к утверждению Проектом решения показатели исполнения бюджета города Оренбурга за 2024 год, соответствуют отчету об исполнении бюджета города Оренбурга за указанный период, составленному финансовым управлением администрации города Оренбурга и представленному </w:t>
      </w:r>
      <w:r>
        <w:rPr>
          <w:sz w:val="28"/>
          <w:szCs w:val="28"/>
        </w:rPr>
        <w:t>в Счетную палату Администрацией города Оренбурга письмом от 31.03.2025 № 01-02/91.</w:t>
      </w:r>
    </w:p>
    <w:p w:rsidR="00B14C2A" w:rsidRDefault="00576BD1">
      <w:p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отношении представленного отчета об исполнении бюджета города Оренбурга за 2024 год Счетной палатой проведена внешняя проверка, которая в соответствии с требованиями статьи 264.4 Бюджетного кодекса РФ и статьи 25 Положения о бюджетном процессе в городе Оренбурге, утвержденного решением Оренбургского городского Совета от 31.08.2020 № 970 (далее – Положение о бюджетном процессе в городе Оренбурге), включала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B14C2A" w:rsidRDefault="00576BD1">
      <w:pPr>
        <w:tabs>
          <w:tab w:val="left" w:pos="0"/>
          <w:tab w:val="left" w:pos="851"/>
          <w:tab w:val="left" w:pos="1134"/>
          <w:tab w:val="left" w:pos="3686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Заключение на Отчет об исполнении бюджета города Оренбурга за 2024 год </w:t>
      </w:r>
      <w:r>
        <w:rPr>
          <w:sz w:val="28"/>
          <w:szCs w:val="28"/>
        </w:rPr>
        <w:t xml:space="preserve">подготовлено Счетной палатой на основании данных внешних проверок бюджетной отчетности </w:t>
      </w:r>
      <w:r>
        <w:rPr>
          <w:color w:val="000000"/>
          <w:sz w:val="28"/>
          <w:szCs w:val="28"/>
        </w:rPr>
        <w:t>26-ти главных администраторов бюджетных средств,</w:t>
      </w:r>
      <w:r>
        <w:rPr>
          <w:sz w:val="28"/>
          <w:szCs w:val="28"/>
        </w:rPr>
        <w:t xml:space="preserve"> согласовано Коллегией Счетной палаты (протокол № 2 от 30.04.2025) и в установленные сроки представлено в Оренбургский городской Совет (исх. № 4-1/306 от 30.04.2025) с </w:t>
      </w:r>
      <w:r>
        <w:rPr>
          <w:sz w:val="28"/>
          <w:szCs w:val="28"/>
        </w:rPr>
        <w:lastRenderedPageBreak/>
        <w:t>одновременным направлением Администрации города Оренбурга (исх. № 4-1/305 от 30.04.2025). Также указанное заключение размещено на официальном Интернет-портале города Оренбурга и доступно для ознакомления всеми заинтересованными лицами.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выводы, отраженные в заключении Счетной палаты на отчет об исполнении бюджета города Оренбурга за 2024 год.</w:t>
      </w:r>
    </w:p>
    <w:p w:rsidR="00B14C2A" w:rsidRDefault="00B14C2A">
      <w:pPr>
        <w:ind w:left="0" w:firstLine="709"/>
        <w:contextualSpacing/>
        <w:jc w:val="both"/>
        <w:rPr>
          <w:sz w:val="12"/>
          <w:szCs w:val="28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В 2023 году бюджет города Оренбурга исполняли 33 главных администратора бюджетных средств города Оренбурга, в том числе: 19 главных администраторов бюджетных средств, являющихся органами местного самоуправления, муниципальными органами, отраслевыми (функциональными) и территориальными органами Администрации города Оренбурга – получателями средств бюджета города Оренбурга и 14 главных администраторов бюджетных средств, являющихся органами государственной власти Российской Федерации и Оренбургской области, осуществляющих полномочия только главных администраторов доходов бюджета города Оренбурга.</w:t>
      </w:r>
    </w:p>
    <w:p w:rsidR="00B14C2A" w:rsidRDefault="00576BD1">
      <w:pPr>
        <w:tabs>
          <w:tab w:val="left" w:pos="0"/>
          <w:tab w:val="left" w:pos="851"/>
          <w:tab w:val="left" w:pos="1134"/>
          <w:tab w:val="left" w:pos="3686"/>
        </w:tabs>
        <w:ind w:left="0" w:firstLine="709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 целях подготовки заключения на Отчет об исполнении бюджета города Оренбурга за 2024 год Счетной палатой проведены внешние проверки бюджетной отчетности в отношении 30-ти главных администраторов бюджетных средств, в том числе </w:t>
      </w:r>
      <w:r>
        <w:rPr>
          <w:sz w:val="28"/>
          <w:szCs w:val="28"/>
          <w:lang w:eastAsia="en-US"/>
        </w:rPr>
        <w:t xml:space="preserve">в форме контрольных мероприятий – в отношении 19-ти органов местного самоуправления, отраслевых (функциональных) и территориальных органов Администрации города Оренбурга и в форме экспертно-аналитических мероприятий – в отношении семи органов государственной власти Российской Федерации и субъекта Российской Федерации, из которых шесть органов в отчетном году являлись главными администраторами доходов бюджета и один орган представил бюджетную отчетность, в которой отражены только операции по работе с задолженностью, образовавшейся по суммам принудительного изъятия до 01.01.2020 (кассовые доходы в отчетном году в бюджет города Оренбурга не поступали). </w:t>
      </w:r>
      <w:r>
        <w:rPr>
          <w:color w:val="000000"/>
          <w:sz w:val="28"/>
          <w:szCs w:val="28"/>
          <w:lang w:eastAsia="en-US"/>
        </w:rPr>
        <w:t>Внешние проверки не проведены в отношении семи главных администраторов доходов бюджета в связи с непредставлением данными главными администраторами бюджетной отчетности об исполнении бюджета города Оренбурга за 2024 год по причине отсутствия показателей по исполнению доходов, являющихся доходами городских округов и не подлежащих распределению между бюджетами бюджетной системы Российской Федерации.</w:t>
      </w:r>
    </w:p>
    <w:p w:rsidR="00B14C2A" w:rsidRDefault="00576BD1">
      <w:pPr>
        <w:ind w:left="0" w:firstLine="720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результатам внешних проверок бюджетной отчетности главных администраторов бюджетных средств города Оренбурга установлено, что показатели отчетов об исполнении бюджета за 2024 год по доходам, расходам и источникам финансирования дефицита, подлежащие утверждению Оренбургским городским Советом, соответствуют итоговым суммам фактических поступлений доходов и выбытий из бюджета города Оренбурга и подтверждены отчетами о кассовом поступлении и выбытии бюджетных средств. Факты, способные существенно повлиять на достоверность отчетов об исполнении бюджета за отчетный год</w:t>
      </w:r>
      <w:r>
        <w:rPr>
          <w:color w:val="000000"/>
          <w:sz w:val="28"/>
          <w:szCs w:val="28"/>
          <w:lang w:eastAsia="en-US"/>
        </w:rPr>
        <w:t>, в ходе проведения внешних проверок не выявлены.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Вместе с тем, в рамках внешних проверок установлен ряд нарушений и недостатков требований, которые не повлекли недостоверность подлежащих </w:t>
      </w:r>
      <w:r>
        <w:rPr>
          <w:sz w:val="28"/>
          <w:szCs w:val="28"/>
          <w:lang w:eastAsia="en-US"/>
        </w:rPr>
        <w:lastRenderedPageBreak/>
        <w:t>утверждению Оренбургским городским Советом показателей отчета об исполнении бюджета города Оренбурга за 2024 год, но требуют принятия мер, направленных на их устранение и недопущение в дальнейшем. Установленные в ходе проведения внешних проверок отдельные замечания и недостатки оказали негативное влияние на информативность бюджетной отчетности и раскрытие показателей об исполнении бюджета города Оренбурга.</w:t>
      </w:r>
    </w:p>
    <w:p w:rsidR="00B14C2A" w:rsidRDefault="00B14C2A">
      <w:pPr>
        <w:ind w:left="0" w:firstLine="709"/>
        <w:contextualSpacing/>
        <w:jc w:val="both"/>
        <w:rPr>
          <w:b/>
          <w:color w:val="000000"/>
          <w:sz w:val="12"/>
          <w:szCs w:val="12"/>
          <w:highlight w:val="yellow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2. </w:t>
      </w:r>
      <w:r>
        <w:rPr>
          <w:sz w:val="28"/>
          <w:szCs w:val="28"/>
          <w:lang w:eastAsia="en-US"/>
        </w:rPr>
        <w:t xml:space="preserve">Согласно представленному Отчету об исполнении бюджета города Оренбурга кассовое исполнение местного бюджета в </w:t>
      </w:r>
      <w:r>
        <w:rPr>
          <w:sz w:val="28"/>
          <w:szCs w:val="28"/>
        </w:rPr>
        <w:t xml:space="preserve">2024 году по </w:t>
      </w:r>
      <w:r>
        <w:rPr>
          <w:bCs/>
          <w:sz w:val="28"/>
          <w:szCs w:val="28"/>
        </w:rPr>
        <w:t>доходам составило 28 410 432,4 тыс. рублей</w:t>
      </w:r>
      <w:r>
        <w:rPr>
          <w:sz w:val="28"/>
          <w:szCs w:val="28"/>
        </w:rPr>
        <w:t xml:space="preserve"> или 99,6</w:t>
      </w:r>
      <w:r>
        <w:rPr>
          <w:bCs/>
          <w:sz w:val="28"/>
          <w:szCs w:val="28"/>
        </w:rPr>
        <w:t>% от уточненных бюджетных назначений</w:t>
      </w:r>
      <w:r>
        <w:rPr>
          <w:sz w:val="28"/>
          <w:szCs w:val="28"/>
        </w:rPr>
        <w:t xml:space="preserve">, по </w:t>
      </w:r>
      <w:r>
        <w:rPr>
          <w:bCs/>
          <w:sz w:val="28"/>
          <w:szCs w:val="28"/>
        </w:rPr>
        <w:t xml:space="preserve">расходам </w:t>
      </w:r>
      <w:r>
        <w:rPr>
          <w:sz w:val="28"/>
          <w:szCs w:val="28"/>
        </w:rPr>
        <w:t xml:space="preserve">– </w:t>
      </w:r>
      <w:r>
        <w:rPr>
          <w:bCs/>
          <w:sz w:val="28"/>
          <w:szCs w:val="28"/>
        </w:rPr>
        <w:t>28 120 833,2 тыс. рублей</w:t>
      </w:r>
      <w:r>
        <w:rPr>
          <w:sz w:val="28"/>
          <w:szCs w:val="28"/>
        </w:rPr>
        <w:t xml:space="preserve"> или 96,6</w:t>
      </w:r>
      <w:r>
        <w:rPr>
          <w:bCs/>
          <w:sz w:val="28"/>
          <w:szCs w:val="28"/>
        </w:rPr>
        <w:t>% от показателей уточненной Сводной бюджетной росписи</w:t>
      </w:r>
      <w:r>
        <w:rPr>
          <w:sz w:val="28"/>
          <w:szCs w:val="28"/>
        </w:rPr>
        <w:t>. При исполнении бюджета города Оренбурга в отчетном году сложился профицит бюджета в размере 289 599,2 тыс. рублей. Остатки на едином счете бюджета увеличились на 251 333,3 тыс. рублей и по состоянию на 01.01.2025 составили 1 176 381,1 тыс. рублей.</w:t>
      </w:r>
      <w:r>
        <w:rPr>
          <w:sz w:val="28"/>
          <w:szCs w:val="28"/>
          <w:lang w:eastAsia="en-US"/>
        </w:rPr>
        <w:t xml:space="preserve">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 сравнении с показателями 2023 года доходы городского бюджета </w:t>
      </w:r>
      <w:r>
        <w:rPr>
          <w:bCs/>
          <w:sz w:val="28"/>
          <w:szCs w:val="28"/>
        </w:rPr>
        <w:t>в отчетном году</w:t>
      </w:r>
      <w:r>
        <w:rPr>
          <w:sz w:val="28"/>
          <w:szCs w:val="28"/>
        </w:rPr>
        <w:t xml:space="preserve"> увеличились на 4 473 144,8 тыс. рублей или на 18,7%, расходы – на 4 242 061,2 тыс. рублей или на 17,8%.  Увеличение доходной части бюджета по сравнению с показателями исполнения бюджета за 2023 год в основном обеспечено ростом межбюджетных трансфертов в форме субсидий (на 2 032 980,8 тыс. рублей или на 25,9%) и субвенций (на 931 001,3 тыс. рублей или на 16,2%), а также налоговых доходов (на 2 128 553,5 тыс. рублей или на 29,5%).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доходы в отчетном году позволили в основном увеличить бюджетные расходы в сфере национальной экономики (на 3 071 408,3 тыс. рублей) и жилищно-коммунального хозяйства (на 1 773 242,9 тыс. рублей).</w:t>
      </w:r>
    </w:p>
    <w:p w:rsidR="00B14C2A" w:rsidRDefault="00B14C2A">
      <w:pPr>
        <w:ind w:left="0" w:firstLine="709"/>
        <w:contextualSpacing/>
        <w:jc w:val="both"/>
        <w:rPr>
          <w:b/>
          <w:sz w:val="12"/>
          <w:szCs w:val="12"/>
        </w:rPr>
      </w:pPr>
    </w:p>
    <w:p w:rsidR="00B14C2A" w:rsidRDefault="00576BD1">
      <w:pPr>
        <w:ind w:left="0" w:firstLine="709"/>
        <w:contextualSpacing/>
        <w:jc w:val="both"/>
        <w:rPr>
          <w:sz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Решением </w:t>
      </w:r>
      <w:r>
        <w:rPr>
          <w:sz w:val="28"/>
        </w:rPr>
        <w:t xml:space="preserve">Оренбургского городского Совета </w:t>
      </w:r>
      <w:r>
        <w:rPr>
          <w:sz w:val="28"/>
          <w:szCs w:val="28"/>
        </w:rPr>
        <w:t xml:space="preserve">от 22.12.2023 № 444 «О бюджете города Оренбурга на 2024 год и на плановый период 2025 и 2026 годов» </w:t>
      </w:r>
      <w:r>
        <w:rPr>
          <w:sz w:val="28"/>
        </w:rPr>
        <w:t>первоначально утверждены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доходы на 2024 год в сумме 26 055 507,0 тыс. рублей, из них налоговые и неналоговые доходы – в сумме 9 081 008,8 тыс. рублей (34,9% от суммы всех доходов), безвозмездные поступления – в сумме 16 974 498,2 тыс. рублей (65,1%). </w:t>
      </w:r>
      <w:r>
        <w:rPr>
          <w:sz w:val="28"/>
          <w:szCs w:val="28"/>
        </w:rPr>
        <w:t>В течение года плановые показатели по доходам уточнялись два раза, в связи с чем, общий объем доходов бюджета увеличился на 2 470 961,5</w:t>
      </w:r>
      <w:r>
        <w:rPr>
          <w:sz w:val="28"/>
        </w:rPr>
        <w:t xml:space="preserve"> тыс. рублей или на 9,5% и утвержден </w:t>
      </w:r>
      <w:r>
        <w:rPr>
          <w:sz w:val="28"/>
          <w:szCs w:val="28"/>
        </w:rPr>
        <w:t xml:space="preserve">РОГС от 24.12.2024 № 562 </w:t>
      </w:r>
      <w:r>
        <w:rPr>
          <w:sz w:val="28"/>
        </w:rPr>
        <w:t xml:space="preserve">в сумме </w:t>
      </w:r>
      <w:r>
        <w:rPr>
          <w:sz w:val="28"/>
          <w:szCs w:val="28"/>
        </w:rPr>
        <w:t>28 526 468,5</w:t>
      </w:r>
      <w:r>
        <w:t xml:space="preserve"> </w:t>
      </w:r>
      <w:r>
        <w:rPr>
          <w:sz w:val="28"/>
        </w:rPr>
        <w:t>тыс. рублей.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Основной причиной роста плановых показателей по доходам бюджета в течение финансового года является увеличение планируемых безвозмездных поступлений на общую сумму 1 588 073,1 тыс. рублей, что составило 64,3% от общей суммы увеличения доходов бюджета. Внесение данных изменений в течение 2024 года в основном связано с дополнительными поступлениями из бюджета Оренбургской области межбюджетных трансфертов в форме дотаций и субсидий. Общий объем уточненных бюджетных назначений по безвозмездным поступлениям составил 18 562 571,6 тыс. рублей, что на 9,4% больше первоначально утвержденных. </w:t>
      </w:r>
    </w:p>
    <w:p w:rsidR="00B14C2A" w:rsidRDefault="00576BD1">
      <w:pPr>
        <w:tabs>
          <w:tab w:val="left" w:pos="8805"/>
        </w:tabs>
        <w:ind w:left="0" w:firstLine="709"/>
        <w:contextualSpacing/>
        <w:jc w:val="both"/>
        <w:rPr>
          <w:b/>
          <w:sz w:val="12"/>
          <w:szCs w:val="12"/>
        </w:rPr>
      </w:pPr>
      <w:r>
        <w:rPr>
          <w:b/>
          <w:sz w:val="12"/>
          <w:szCs w:val="12"/>
        </w:rPr>
        <w:tab/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ja-JP"/>
        </w:rPr>
      </w:pPr>
      <w:r>
        <w:rPr>
          <w:b/>
          <w:sz w:val="28"/>
          <w:szCs w:val="28"/>
        </w:rPr>
        <w:lastRenderedPageBreak/>
        <w:t>4.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Согласно Отчету об исполнении бюджета за 2024 год в бюджет города Оренбурга в отчетном году поступило доходов в общем объеме </w:t>
      </w:r>
      <w:r>
        <w:rPr>
          <w:sz w:val="28"/>
          <w:szCs w:val="28"/>
        </w:rPr>
        <w:t>28 410 432,4</w:t>
      </w:r>
      <w:r>
        <w:rPr>
          <w:color w:val="000000"/>
          <w:sz w:val="28"/>
          <w:szCs w:val="28"/>
          <w:lang w:eastAsia="en-US"/>
        </w:rPr>
        <w:t xml:space="preserve"> тыс. рублей, что составило 99,6% от утвержденных бюджетных назначений.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t>Ниже утвержденных показателей (уровень исполнения 97,2%) исполнены бюджетные назначения по безвозмездным поступлениям, что связано с неисполнением плана по всем видам безвозмездных поступлений, а также с возвратом в областной бюджет остатков целевых безвозмездных поступлений прошлых лет.</w:t>
      </w:r>
      <w:r>
        <w:rPr>
          <w:sz w:val="28"/>
          <w:szCs w:val="28"/>
          <w:lang w:eastAsia="ja-JP"/>
        </w:rPr>
        <w:t xml:space="preserve"> Диапазон уровня исполнения плановых показателей варьируется от 97,5% («Безвозмездные поступления от негосударственных организаций») до 99,8% («Иные межбюджетные трансферты»), за исключением «Дотаций», поступивших в бюджет в размере 80,4% от запланированного, а также «Прочих безвозмездных поступлений», которые при плане 36,0 тыс. рублей в отчетном периоде в бюджет не поступили.</w:t>
      </w:r>
    </w:p>
    <w:p w:rsidR="00B14C2A" w:rsidRDefault="00B14C2A">
      <w:pPr>
        <w:ind w:left="0" w:firstLine="720"/>
        <w:contextualSpacing/>
        <w:jc w:val="both"/>
        <w:rPr>
          <w:color w:val="000000"/>
          <w:sz w:val="12"/>
          <w:szCs w:val="12"/>
          <w:lang w:eastAsia="ja-JP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ja-JP"/>
        </w:rPr>
        <w:t xml:space="preserve">5. </w:t>
      </w:r>
      <w:r>
        <w:rPr>
          <w:color w:val="000000"/>
          <w:sz w:val="28"/>
          <w:szCs w:val="28"/>
          <w:lang w:eastAsia="ja-JP"/>
        </w:rPr>
        <w:t xml:space="preserve">В отчетном году администрирование кассовых поступлений </w:t>
      </w:r>
      <w:r>
        <w:rPr>
          <w:sz w:val="28"/>
          <w:szCs w:val="28"/>
          <w:lang w:eastAsia="ja-JP"/>
        </w:rPr>
        <w:t>доходов</w:t>
      </w:r>
      <w:r>
        <w:rPr>
          <w:sz w:val="28"/>
          <w:szCs w:val="28"/>
          <w:lang w:eastAsia="en-US"/>
        </w:rPr>
        <w:t xml:space="preserve"> в бюджет города Оренбурга осуществляли 33 главных администраторов, </w:t>
      </w:r>
      <w:r>
        <w:rPr>
          <w:bCs/>
          <w:iCs/>
          <w:sz w:val="28"/>
          <w:szCs w:val="28"/>
          <w:lang w:eastAsia="en-US"/>
        </w:rPr>
        <w:t xml:space="preserve">в том числе </w:t>
      </w:r>
      <w:r>
        <w:rPr>
          <w:sz w:val="28"/>
          <w:szCs w:val="28"/>
          <w:lang w:eastAsia="en-US"/>
        </w:rPr>
        <w:t xml:space="preserve">19 органов местного самоуправления города Оренбурга и функциональных (территориальных) органов Администрации города Оренбурга, а также 14 органов государственной власти РФ и субъекта РФ.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и в предыдущие годы, основную долю поступивших в отчетном году налоговых и неналоговых доходов – около 90,0% – составили налоги и иные платежи, администрируемые Управлением Федеральной налоговой службы по Оренбургской области. Неналоговые доходы, администрируемые ДГиЗО (доходы от сдачи в аренду и от продажи земельных участков и др.) составили 4,3% от общей суммы налоговых и неналоговых доходов, ДИиЖО (доходы от сдачи в аренду и от продажи нежилых помещений и иного имущества, наем жилых помещений и др.) – 3,9%. Также наиболее крупными администраторами налоговых и неналоговых доходов в отчетном году являлись: Комитет потребительского рынка, услуг и развития предпринимательства (плата за размещение нестационарных торговых объектов, плата за размещение рекламных конструкций и др.), Южно - Уральское межрегиональное управление Федеральной службы по надзору в сфере природопользования (платежи при пользовании природными ресурсами), Комитет по обеспечению деятельности мировых судей Оренбургской области (доходы от штрафов), УЖКХ (платежи в целях возмещения причиненного ущерба, инициативные платежи, штрафы и неустойки по муниципальным контрактам и др.), Администрация Северного округа (платежи в целях возмещения вреда и др.) и Министерство архитектуры и пространственно-градостроительного развития Оренбургской области (плата за право на заключение договора (контракта), государственная пошлина).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общем объеме безвозмездных поступлений наибольший удельный вес составили доходы от субсидий, субвенций и иных межбюджетных трансфертов из областного бюджета, администрируемых ДГиЗО (42,7%), Управлением образования (37,7%), Финансовым управлением (6,8%) и ДИиЖО (5,2%).</w:t>
      </w:r>
    </w:p>
    <w:p w:rsidR="00B14C2A" w:rsidRDefault="00B14C2A">
      <w:pPr>
        <w:ind w:left="0" w:firstLine="709"/>
        <w:contextualSpacing/>
        <w:jc w:val="both"/>
        <w:rPr>
          <w:color w:val="000000"/>
          <w:sz w:val="12"/>
          <w:szCs w:val="12"/>
          <w:lang w:eastAsia="en-US"/>
        </w:rPr>
      </w:pPr>
    </w:p>
    <w:p w:rsidR="00B14C2A" w:rsidRDefault="00576BD1">
      <w:p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>6.</w:t>
      </w:r>
      <w:r>
        <w:rPr>
          <w:sz w:val="28"/>
          <w:szCs w:val="28"/>
        </w:rPr>
        <w:t xml:space="preserve"> Поступления налоговых и неналоговых доходов в бюджет города Оренбурга в 2024 году составили 10 375 600,8 тыс. рублей или 104,1% от плановых </w:t>
      </w:r>
      <w:r>
        <w:rPr>
          <w:sz w:val="28"/>
          <w:szCs w:val="28"/>
        </w:rPr>
        <w:lastRenderedPageBreak/>
        <w:t>назначений (9 963 896,9 тыс. рублей)</w:t>
      </w:r>
      <w:r>
        <w:rPr>
          <w:sz w:val="28"/>
          <w:szCs w:val="28"/>
          <w:lang w:eastAsia="en-US"/>
        </w:rPr>
        <w:t xml:space="preserve"> и 126,0% от показателя прошлого года (</w:t>
      </w:r>
      <w:r>
        <w:rPr>
          <w:sz w:val="28"/>
          <w:szCs w:val="28"/>
        </w:rPr>
        <w:t>8 233 606,5</w:t>
      </w:r>
      <w:r>
        <w:rPr>
          <w:sz w:val="28"/>
          <w:szCs w:val="28"/>
          <w:lang w:eastAsia="en-US"/>
        </w:rPr>
        <w:t xml:space="preserve"> тыс. рублей).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бюджетной отчетности в 2024 году увеличению муниципальных финансов способствовало исполнение в течение года плана мероприятий по консолидации бюджетных средств и оптимизации бюджетных расходов города Оренбурга, утвержденного постановлением Администрации города Оренбурга от 12.02.2021 № 316-п. Бюджетный эффект от реализации указанного плана в виде мобилизации налоговых и неналоговых доходов бюджета города Оренбурга составил 443 600,0 тыс. рублей. </w:t>
      </w:r>
      <w:bookmarkStart w:id="1" w:name="_Hlk196398778"/>
    </w:p>
    <w:p w:rsidR="00B14C2A" w:rsidRDefault="00576BD1">
      <w:pPr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Также на доходы бюджета оказала влияние чрезвычайная ситуация, сложившаяся</w:t>
      </w:r>
      <w:r>
        <w:t xml:space="preserve"> </w:t>
      </w:r>
      <w:r>
        <w:rPr>
          <w:sz w:val="28"/>
          <w:szCs w:val="28"/>
        </w:rPr>
        <w:t xml:space="preserve">на территории Оренбургской области в результате весеннего паводка 2024 года, в связи с тем, что в целях обеспечения устойчивого экономического развития муниципального образования и </w:t>
      </w:r>
      <w:r>
        <w:rPr>
          <w:rFonts w:eastAsia="Calibri"/>
          <w:sz w:val="28"/>
          <w:szCs w:val="28"/>
        </w:rPr>
        <w:t xml:space="preserve">поддержки пострадавших граждан </w:t>
      </w:r>
      <w:r>
        <w:rPr>
          <w:sz w:val="28"/>
          <w:szCs w:val="28"/>
        </w:rPr>
        <w:t>н</w:t>
      </w:r>
      <w:r>
        <w:rPr>
          <w:rFonts w:eastAsia="Calibri"/>
          <w:sz w:val="28"/>
          <w:szCs w:val="28"/>
        </w:rPr>
        <w:t xml:space="preserve">а всех уровнях власти </w:t>
      </w:r>
      <w:r>
        <w:rPr>
          <w:sz w:val="28"/>
          <w:szCs w:val="28"/>
        </w:rPr>
        <w:t xml:space="preserve">в 2024 году </w:t>
      </w:r>
      <w:r>
        <w:rPr>
          <w:rFonts w:eastAsia="Calibri"/>
          <w:sz w:val="28"/>
          <w:szCs w:val="28"/>
        </w:rPr>
        <w:t xml:space="preserve">внесены </w:t>
      </w:r>
      <w:r>
        <w:rPr>
          <w:sz w:val="28"/>
          <w:szCs w:val="28"/>
        </w:rPr>
        <w:t xml:space="preserve">изменения в законодательство о налогах и сборах. Сумма выпадающих доходов бюджета в связи с принятием решения Оренбургским городским Советом в поддержку граждан, пострадавших в результате прохождения весеннего паводка 2024 года, об освобождении от уплаты налога на имущество физических лиц, в отчетном периоде составил 16 157,0 тыс. рублей (22 732 налогоплательщика), от уплаты земельного налога – 16 782,0 тыс. рублей (20 налогоплательщиков – организаций и 12 115 налогоплательщиков – граждан) </w:t>
      </w:r>
      <w:r>
        <w:rPr>
          <w:i/>
          <w:iCs/>
          <w:sz w:val="28"/>
          <w:szCs w:val="28"/>
        </w:rPr>
        <w:t>(стр. 19-20</w:t>
      </w:r>
      <w:r>
        <w:rPr>
          <w:rStyle w:val="af8"/>
          <w:i/>
          <w:iCs/>
          <w:sz w:val="28"/>
          <w:szCs w:val="28"/>
        </w:rPr>
        <w:footnoteReference w:id="1"/>
      </w:r>
      <w:r>
        <w:rPr>
          <w:i/>
          <w:iCs/>
          <w:sz w:val="28"/>
          <w:szCs w:val="28"/>
        </w:rPr>
        <w:t>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общий объем неполученных доходов бюджета в 2024 году в связи с исполнением решений Оренбургского городского Совета в части предоставления налоговых льгот и имущественной поддержки субъектов малого и среднего предпринимательства составил 27 891,2 тыс. рублей, в том числе:</w:t>
      </w:r>
    </w:p>
    <w:p w:rsidR="00B14C2A" w:rsidRDefault="00576BD1">
      <w:pPr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от освобождения и применения пониженной ставки земельного налога – 12 537,2 тыс. рублей (один налогоплательщик – организация и 34 169 налогоплательщиков – граждан) </w:t>
      </w:r>
      <w:r>
        <w:rPr>
          <w:i/>
          <w:iCs/>
          <w:sz w:val="28"/>
          <w:szCs w:val="28"/>
        </w:rPr>
        <w:t>(стр. 20);</w:t>
      </w:r>
    </w:p>
    <w:p w:rsidR="00B14C2A" w:rsidRDefault="00576BD1">
      <w:pPr>
        <w:ind w:left="0" w:firstLine="709"/>
        <w:contextualSpacing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от снижения арендной платы за использование объектов муниципального нежилого фонда в связи с применением понижающего коэффициента социальной значимости – 15 354,0 тыс. рублей (37 договоров аренды с социально ориентированными некоммерческими организациями) </w:t>
      </w:r>
      <w:r>
        <w:rPr>
          <w:i/>
          <w:iCs/>
          <w:sz w:val="28"/>
          <w:szCs w:val="28"/>
        </w:rPr>
        <w:t>(стр. 33).</w:t>
      </w:r>
      <w:bookmarkEnd w:id="1"/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6.1. </w:t>
      </w:r>
      <w:r>
        <w:rPr>
          <w:color w:val="000000"/>
          <w:sz w:val="28"/>
          <w:szCs w:val="28"/>
          <w:lang w:eastAsia="en-US"/>
        </w:rPr>
        <w:t xml:space="preserve">Более 93,0% от общей суммы налоговых и неналоговых доходов составили налоговые доходы, которые поступили в городской бюджет в объеме </w:t>
      </w:r>
      <w:r>
        <w:rPr>
          <w:sz w:val="28"/>
          <w:szCs w:val="28"/>
        </w:rPr>
        <w:t>9 336 808,3</w:t>
      </w:r>
      <w:r>
        <w:rPr>
          <w:color w:val="000000"/>
          <w:sz w:val="28"/>
          <w:szCs w:val="28"/>
          <w:lang w:eastAsia="en-US"/>
        </w:rPr>
        <w:t xml:space="preserve"> тыс. рублей или </w:t>
      </w:r>
      <w:r>
        <w:rPr>
          <w:sz w:val="28"/>
          <w:szCs w:val="28"/>
        </w:rPr>
        <w:t>103,3% от утвержденных назначений, что связано с перевыполнением плановых показателей по всем подгруппам налоговых доходов, в том числе по двум наиболее крупным источникам - «Налоги на прибыль, доходы» (102,8%) и «Налоги на совокупный доход» (102,4%).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годовой бюджетной отчетности основными причинами перевыполнения плановых показателей являлись: увеличение налоговой базы, в том числе за счет роста на 18,5% минимального размера оплаты труда в Оренбургской области (с 18 678,00 рублей (2023 год) до 22 128,00 рублей (2024 год), дополнительные не планируемые поступления штрафных санкций по основным </w:t>
      </w:r>
      <w:r>
        <w:rPr>
          <w:sz w:val="28"/>
          <w:szCs w:val="28"/>
        </w:rPr>
        <w:lastRenderedPageBreak/>
        <w:t>налоговым платежам, рост количества налогоплательщиков, индекса потребительских цен и размеров государственной пошлины, а также исполнение Плана мероприятий по консолидации бюджетных средств.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показателем 2023 года (7 208 254,8 тыс. рублей) поступления налоговых доходов в бюджет города увеличились на 2 755 553,5 тыс. рублей или на 38,2%.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Согласно бюджетной отчетности основными причинами данного роста являлись: </w:t>
      </w:r>
      <w:r>
        <w:rPr>
          <w:sz w:val="28"/>
          <w:szCs w:val="28"/>
        </w:rPr>
        <w:t xml:space="preserve">увеличение налоговых ставок на нефтепродукты на 4,9% и дифференцированного норматива отчислений от акцизов на нефтепродукты с 8,2483% (в 2023 году) до 8,2647% (в 2024 году), перенос срока окончания действия патента за 2023 год на отчетный год (09.01.2024 года), рост </w:t>
      </w:r>
      <w:r>
        <w:rPr>
          <w:color w:val="000000" w:themeColor="text1"/>
          <w:sz w:val="28"/>
          <w:szCs w:val="28"/>
        </w:rPr>
        <w:t xml:space="preserve">общей кадастровой стоимости строений и улучшение собираемости налога на имущество физических лиц, </w:t>
      </w:r>
      <w:r>
        <w:rPr>
          <w:sz w:val="28"/>
          <w:szCs w:val="28"/>
        </w:rPr>
        <w:t>рост налогооблагаемой базы по земельному налогу, в том числе из-за изменения видов разрешенного использования земельных участков и перерасчетов за 2021-2022 годы.</w:t>
      </w:r>
    </w:p>
    <w:p w:rsidR="00B14C2A" w:rsidRDefault="00576BD1">
      <w:pPr>
        <w:ind w:left="0" w:firstLine="72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6.2. </w:t>
      </w:r>
      <w:r>
        <w:rPr>
          <w:sz w:val="28"/>
          <w:szCs w:val="28"/>
          <w:lang w:eastAsia="en-US"/>
        </w:rPr>
        <w:t xml:space="preserve">В соответствии с </w:t>
      </w:r>
      <w:r>
        <w:rPr>
          <w:sz w:val="28"/>
          <w:szCs w:val="28"/>
        </w:rPr>
        <w:t xml:space="preserve">годовой бюджетной отчетностью за 2024 год начислено налоговых доходов, подлежащих оплате в местный бюджет, в общей сумме 9 329 580,5 тыс. рублей, что на 1 719 761,9 тыс. рублей или на 22,6% больше показателя 2023 года (7 609 818,6 тыс. рублей). Кассовые поступления в городской бюджет составили 100,1% от налогов и сборов, подлежащих уплате за отчетный период (в 2023 году – 94,7%). </w:t>
      </w:r>
    </w:p>
    <w:p w:rsidR="00B14C2A" w:rsidRDefault="00576BD1">
      <w:pPr>
        <w:tabs>
          <w:tab w:val="left" w:pos="1134"/>
        </w:tabs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отчетную дату (на 01.01.2025) по расчетам по налоговым доходам (без учета не отраженной в бюджетной отчетности задолженности по федеральным налогам, подлежащим перераспределению в местный бюджет) сложились следующие показатели:</w:t>
      </w:r>
    </w:p>
    <w:p w:rsidR="00B14C2A" w:rsidRDefault="00576BD1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дебиторская задолженность в общем размере 114 661,1 тыс. рублей, что на 34 152,7 тыс. рублей или на 23,1% ниже показателя, сложившегося на начало года (148 813,8 тыс. рублей). В качестве просроченной отражена задолженность в сумме 100 454,2 тыс. рублей, что составило 87,6% от общего объема дебиторской задолженности;</w:t>
      </w:r>
    </w:p>
    <w:p w:rsidR="00B14C2A" w:rsidRDefault="00576BD1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кредиторская задолженность (переплата) в общем размере 37 234,6 тыс. рублей, что на 7 972,5 тыс. рублей или на 17,6% ниже показателя, сложившегося на начало года (45 207,1 тыс. рублей).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согласно представленным Финансовым управлением сведениям совокупная недоимка по налоговым доходам в бюджет города Оренбурга по федеральным налогам, поступления по которым подлежат перераспределению в местный бюджет по установленным нормативам, по состоянию на отчетную дату составила 168 615,0 тыс. рублей, что на 7 404,0 тыс. рублей или на 4,6% выше аналогичного показателя, сложившегося на начало года (161 211,0 тыс. рублей). В структуре налогов наибольший объем недоимки (96,3%) сложился по двум налогам: налогу, взимаемому в связи с упрощенной системой налогообложения – 102 075,0 тыс. рублей, что составляет 60,5% от совокупной недоимки, и налогу на доходы физических лиц – 62 233,0 тыс. рублей, что составляет 36,9% от совокупной недоимки.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6.3.</w:t>
      </w:r>
      <w:r>
        <w:rPr>
          <w:color w:val="000000"/>
          <w:sz w:val="28"/>
          <w:szCs w:val="28"/>
          <w:lang w:eastAsia="en-US"/>
        </w:rPr>
        <w:t xml:space="preserve"> Бюджетные назначения по неналоговым доходам в 2024 году исполнены в объеме </w:t>
      </w:r>
      <w:r>
        <w:rPr>
          <w:sz w:val="28"/>
          <w:szCs w:val="28"/>
        </w:rPr>
        <w:t>1 038 792,5</w:t>
      </w:r>
      <w:r>
        <w:rPr>
          <w:color w:val="000000"/>
          <w:sz w:val="28"/>
          <w:szCs w:val="28"/>
          <w:lang w:eastAsia="en-US"/>
        </w:rPr>
        <w:t xml:space="preserve"> тыс. рублей или на </w:t>
      </w:r>
      <w:r>
        <w:rPr>
          <w:sz w:val="28"/>
          <w:szCs w:val="28"/>
        </w:rPr>
        <w:t>112,8%</w:t>
      </w:r>
      <w:r>
        <w:rPr>
          <w:color w:val="000000"/>
          <w:sz w:val="28"/>
          <w:szCs w:val="28"/>
          <w:lang w:eastAsia="en-US"/>
        </w:rPr>
        <w:t xml:space="preserve"> от утвержденных назначений,</w:t>
      </w:r>
      <w:r>
        <w:rPr>
          <w:sz w:val="28"/>
          <w:szCs w:val="28"/>
        </w:rPr>
        <w:t xml:space="preserve"> что связано с перевыполнением плановых показателей по всем подгруппам неналоговых доходов. Наиболее высокое превышение плана сложилось по подгруппам «Прочие неналоговые доходы» (427,6%), «Доходы от оказания услуг и компенсации затрат государства» (130,1%) и «Платежи при пользовании природными ресурсами» (119,0%). Также более чем на 10,0% сложилось перевыполнение по остальным подгруппам, а именно: «Доходы от продажи материальных и нематериальных активов» (111,1%), «Доходы от использования имущества, находящегося в государственной и муниципальной собственности» (110,8%) и «Штрафы, санкции, возмещение ущерба» (110,1%).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годовой бюджетной отчетности основными причинами перевыполнения плановых показателей являлись: погашение задолженности по арендной плате за земельные участки и муниципальное имущество, авансовые платежи за январь 2025 года по концессионному соглашению, договорам аренды земельных участков, договорам на размещение рекламных конструкций и нестационарных торговых объектов, досрочный выкуп ранее арендованного муниципального имущества, внесение задатка инвестором для обеспечения заявки на участие в конкурсе на право заключения договора о комплексном развитии незастроенной территории, поступления непланируемых доходов от заключения новых договоров аренды, доходов от оказания платных услуг, возмещение бюджетных расходов, платежей в целях возмещения причиненного ущерба (убытков) и вреда, причиненного вырубкой зеленых насаждений, а также остатка денежных средств при ликвидации МУП «МИФ».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годовой бюджетной отчетностью общая сумма начисленных неналоговых доходов за 2024 год, подлежащая уплате в бюджет, составила 950 467,5 тыс. рублей. Таким образом, кассовые поступления неналоговых доходов в местный бюджет составили 109,3% от суммы, подлежащей уплате за отчетный период, что обусловлено дополнительным поступлением задолженности, образовавшейся в предыдущие годы.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 сравнению с показателем 2023 года (</w:t>
      </w:r>
      <w:r>
        <w:rPr>
          <w:color w:val="000000"/>
          <w:sz w:val="28"/>
          <w:szCs w:val="28"/>
          <w:lang w:eastAsia="en-US"/>
        </w:rPr>
        <w:t>1 025 351,7</w:t>
      </w:r>
      <w:r>
        <w:rPr>
          <w:sz w:val="28"/>
          <w:szCs w:val="28"/>
          <w:lang w:eastAsia="en-US"/>
        </w:rPr>
        <w:t xml:space="preserve"> тыс. рублей) </w:t>
      </w:r>
      <w:r>
        <w:rPr>
          <w:sz w:val="28"/>
        </w:rPr>
        <w:t>объем неналоговых доходов увеличился на 13 440,8 тыс. рублей или на 1,3%</w:t>
      </w:r>
      <w:r>
        <w:rPr>
          <w:sz w:val="28"/>
          <w:szCs w:val="28"/>
          <w:lang w:eastAsia="en-US"/>
        </w:rPr>
        <w:t xml:space="preserve">. Согласно бюджетной отчетности основными причинами данного роста являлись: </w:t>
      </w:r>
      <w:r>
        <w:rPr>
          <w:color w:val="000000" w:themeColor="text1"/>
          <w:sz w:val="28"/>
          <w:szCs w:val="28"/>
        </w:rPr>
        <w:t>вовлечение в оборот неиспользуемых земельных участков путем предоставления их в аренду,</w:t>
      </w:r>
      <w:r>
        <w:rPr>
          <w:sz w:val="28"/>
          <w:szCs w:val="28"/>
          <w:lang w:eastAsia="en-US"/>
        </w:rPr>
        <w:t xml:space="preserve"> увеличение размера базовой ставки платы за наем жилых помещений, </w:t>
      </w:r>
      <w:r>
        <w:rPr>
          <w:color w:val="000000" w:themeColor="text1"/>
          <w:sz w:val="28"/>
          <w:szCs w:val="28"/>
        </w:rPr>
        <w:t xml:space="preserve">рост переплат по платежам в бюджет и </w:t>
      </w:r>
      <w:r>
        <w:rPr>
          <w:bCs/>
          <w:color w:val="000000"/>
          <w:sz w:val="28"/>
          <w:szCs w:val="28"/>
        </w:rPr>
        <w:t xml:space="preserve">индексация выплат, пособий и компенсаций, предусмотренных Законом о погребении. При этом, по отдельным источникам неналоговых доходов сложилось сокращение поступлений по сравнению с показателями 2023 года, основными причинами которого являлись: </w:t>
      </w:r>
      <w:r>
        <w:rPr>
          <w:sz w:val="28"/>
          <w:szCs w:val="28"/>
        </w:rPr>
        <w:t xml:space="preserve">сокращение количества обществ, в которых муниципальное образование имеет доли в уставных капиталах, заключение концессионного соглашения в отношении ранее действующих договоров аренды объектов водоснабжения и водоотведения города Оренбурга и земельных участков под ними, </w:t>
      </w:r>
      <w:r>
        <w:rPr>
          <w:color w:val="000000" w:themeColor="text1"/>
          <w:sz w:val="28"/>
          <w:szCs w:val="28"/>
        </w:rPr>
        <w:t xml:space="preserve">снижение поступлений платы за выбросы загрязняющих веществ по причине зачета переплаты прошлых периодов в </w:t>
      </w:r>
      <w:r>
        <w:rPr>
          <w:color w:val="000000" w:themeColor="text1"/>
          <w:sz w:val="28"/>
          <w:szCs w:val="28"/>
        </w:rPr>
        <w:lastRenderedPageBreak/>
        <w:t>счет платежей текущего года</w:t>
      </w:r>
      <w:r>
        <w:rPr>
          <w:sz w:val="28"/>
          <w:szCs w:val="28"/>
        </w:rPr>
        <w:t xml:space="preserve">, а также снижение платежеспособности населения, </w:t>
      </w:r>
      <w:r>
        <w:rPr>
          <w:color w:val="000000" w:themeColor="text1"/>
          <w:sz w:val="28"/>
          <w:szCs w:val="28"/>
        </w:rPr>
        <w:t>весенний паводок 2024 года и отсутствие обращений за оказанием платных услуг.</w:t>
      </w:r>
    </w:p>
    <w:p w:rsidR="00B14C2A" w:rsidRDefault="00576BD1">
      <w:pPr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6.4.</w:t>
      </w:r>
      <w:r>
        <w:rPr>
          <w:sz w:val="28"/>
          <w:szCs w:val="28"/>
          <w:lang w:eastAsia="en-US"/>
        </w:rPr>
        <w:t xml:space="preserve"> По состоянию на отчетную дату (на 01.01.2025) по расчетам по неналоговым доходам отражены следующие показатели:</w:t>
      </w:r>
    </w:p>
    <w:p w:rsidR="00B14C2A" w:rsidRDefault="00576BD1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дебиторская задолженность в общем размере 8 897 297,4 тыс. рублей, что на 296 896,9 тыс. рублей или на 3,2% ниже показателя, отраженного на начало года (9 194 194,3 тыс. рублей), из них долгосрочная задолженность по арендным платежам, начисленная за весь период действия договора, составила 96,7% от общей суммы отраженной задолженности или 8 602 674,5 тыс. рублей, просроченная задолженность, образовавшаяся в связи с нарушением сроков оплаты, составила 200 455,9 тыс. рублей или 2,3% от общей суммы задолженности и 91,5% от аналогичного показателя, отраженного на начало года (218 988,4 тыс. рублей); </w:t>
      </w:r>
    </w:p>
    <w:p w:rsidR="00B14C2A" w:rsidRDefault="00576BD1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кредиторская задолженность (переплата) в общем размере 30 879,9 тыс. рублей, что на 2 783,1 тыс. рублей или на 9,9% выше показателя, отраженного на начало года (28 096,8 тыс. рублей).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главные администраторы неналоговых доходов произвели списания активов баланса, отраженных в форме дебиторской задолженности по доходам бюджета, на общую сумму 29 692,3 тыс. рублей, а также обязательств, отраженных в форме кредиторской задолженности по доходам (переплата, невостребованная кредиторами, по которой истек срок исковой давности и </w:t>
      </w:r>
      <w:r>
        <w:rPr>
          <w:color w:val="000000"/>
          <w:sz w:val="28"/>
          <w:szCs w:val="28"/>
        </w:rPr>
        <w:t>заявление о возврате излишне уплаченного платежа не поступало</w:t>
      </w:r>
      <w:r>
        <w:rPr>
          <w:sz w:val="28"/>
          <w:szCs w:val="28"/>
        </w:rPr>
        <w:t xml:space="preserve">) в общей сумме 1 234,8 тыс. рублей. 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в годовой бюджетной отчетности на отчетную дату на забалансовом счете 04 «Сомнительная задолженность» отражена задолженность неплатежеспособных дебиторов по доходам бюджета с момента принятия решения о выбытии такой задолженности с балансового учета в общей сумме 120 480,0 тыс. рублей, что на 48 570,3 тыс. рублей или на 28,7% ниже показателя, отраженного на начало года (169 050,3 тыс. рублей). В течение 2024 года главными администраторами доходов производились операции по увеличению задолженности в связи с признанием дебиторской задолженности сомнительной и списанием с балансового учета на общую сумму 22 705,4 тыс. рублей, по списанию задолженности в связи с признанием ее безнадежной в общей сумме 70 909,9 тыс. рублей, а также по списанию задолженности в связи с ее восстановлением на балансовом счете для осуществления оплаты в целях ее погашения в общей сумме 365,7 тыс. рублей.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Проведенными внешними проверками бюджетной отчетности установлено (</w:t>
      </w:r>
      <w:r>
        <w:rPr>
          <w:i/>
          <w:sz w:val="28"/>
          <w:szCs w:val="28"/>
        </w:rPr>
        <w:t>стр. 26-27, 35-36</w:t>
      </w:r>
      <w:r>
        <w:rPr>
          <w:sz w:val="28"/>
          <w:szCs w:val="28"/>
        </w:rPr>
        <w:t>):</w:t>
      </w:r>
    </w:p>
    <w:p w:rsidR="00B14C2A" w:rsidRDefault="00576BD1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несоблюдение главными администраторами неналоговых доходов требований о проведении обязательной инвентаризации активов и обязательств в целях подтверждения сведений, отражаемых в учете и отчетности, с фактическим наличием активов и обязательств. Общий объем задолженности по расчетам с плательщиками по доходам, в отношении которой не проведена инвентаризация, в связи с чем, отсутствует подтверждение ее фактического наличия в отраженных суммах, составил 3 004 876,2 тыс. рублей или 33,2% от общего объема </w:t>
      </w:r>
      <w:r>
        <w:rPr>
          <w:rFonts w:ascii="Times New Roman" w:hAnsi="Times New Roman" w:cs="Times New Roman"/>
          <w:sz w:val="28"/>
          <w:szCs w:val="28"/>
        </w:rPr>
        <w:lastRenderedPageBreak/>
        <w:t>задолженности, отраженного на отчетную дату по неналоговым доходам, в том числе: ДИиЖО – 3 000 343,8 тыс. рублей, КПРУиРП- 1 221,4 тыс. рублей, УЖКХ – 3 116,8 тыс. рублей, Администрация города – 194,2 тыс. рублей;</w:t>
      </w:r>
    </w:p>
    <w:p w:rsidR="00B14C2A" w:rsidRDefault="00576BD1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несоблюдение КПРУиРП установленных требований в части принятия к забалансовому учету по счету 04 «Сомнительная задолженность» задолженности 34 контрагентов в общей сумме 207,4 тыс. рублей, </w:t>
      </w:r>
      <w:bookmarkStart w:id="2" w:name="_Hlk162446081"/>
      <w:r>
        <w:rPr>
          <w:rFonts w:ascii="Times New Roman" w:hAnsi="Times New Roman" w:cs="Times New Roman"/>
          <w:sz w:val="28"/>
          <w:szCs w:val="28"/>
        </w:rPr>
        <w:t xml:space="preserve">что 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указывает на формальное проведение инвентаризации расчетов перед составлением годовой бюджетной отчетности; </w:t>
      </w:r>
    </w:p>
    <w:p w:rsidR="00B14C2A" w:rsidRDefault="00576BD1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непроведение ДИиЖО инвентаризации в целях составления годовой бюджетной отчетности за 2024 год имущества казны стоимостью 12 122 513,0 тыс. рублей, что составляет 25,8% от общей стоимости казны муниципального образования «город Оренбург» (46 970 195,2 тыс. рублей (без учета амортизации)); </w:t>
      </w:r>
    </w:p>
    <w:p w:rsidR="00B14C2A" w:rsidRDefault="00576BD1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rPr>
          <w:b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>факты, также указывающие на формальное проведение инвентаризации имущества казны ДИиЖО и ДГиЗО;</w:t>
      </w:r>
    </w:p>
    <w:p w:rsidR="00B14C2A" w:rsidRDefault="00576BD1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rPr>
          <w:b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>ДИиЖО не реализуются установленные Бюджетным кодексом РФ полномочия администратора доходов по начислению платы нанимателям жилых помещений, а также пени за просрочку платежа. Соответствующие полномочия фактически осуществляются АО «Система «Город» в рамках агентских договоров. На оплату услуг АО «Система «Город» в 2024 году из местного бюджета направлено 1 142,4 тыс. рублей.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6.5.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Одновременно с отчетом об исполнении бюджета города Оренбурга за 2024 год на основании статьи 25 Положения о бюджетном процессе в городе Оренбурге в Счетную палату представлен </w:t>
      </w:r>
      <w:r>
        <w:rPr>
          <w:i/>
          <w:iCs/>
          <w:sz w:val="28"/>
          <w:szCs w:val="28"/>
        </w:rPr>
        <w:t xml:space="preserve">отчет об итогах исполнения прогнозных планов (программ) приватизации государственного и муниципального имущества </w:t>
      </w:r>
      <w:r>
        <w:rPr>
          <w:sz w:val="28"/>
          <w:szCs w:val="28"/>
        </w:rPr>
        <w:t>(далее – Отчет), который подлежит представлению в Оренбургский городской Совет до 1 мая текущего года в соответствии со статьей 26 указанного положения (</w:t>
      </w:r>
      <w:r>
        <w:rPr>
          <w:i/>
          <w:sz w:val="28"/>
          <w:szCs w:val="28"/>
        </w:rPr>
        <w:t>стр. 42</w:t>
      </w:r>
      <w:r>
        <w:rPr>
          <w:sz w:val="28"/>
          <w:szCs w:val="28"/>
        </w:rPr>
        <w:t xml:space="preserve">). </w:t>
      </w:r>
    </w:p>
    <w:p w:rsidR="00B14C2A" w:rsidRDefault="00576BD1">
      <w:p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этом, Счетная палата отмечает, что Положением о бюджетном процессе в городе Оренбурге предусмотрено представление </w:t>
      </w:r>
      <w:r>
        <w:rPr>
          <w:i/>
          <w:iCs/>
          <w:sz w:val="28"/>
          <w:szCs w:val="28"/>
        </w:rPr>
        <w:t>отчета о выполнении Прогнозного плана (программы) приватизации муниципального имущества</w:t>
      </w:r>
      <w:r>
        <w:rPr>
          <w:sz w:val="28"/>
          <w:szCs w:val="28"/>
        </w:rPr>
        <w:t xml:space="preserve"> за прошедший год. Представленный Отчет содержит только общее количество и общие суммы начальных цен и цен продажи, без разбивки по объектам, которые утверждены в Программе приватизации, что не позволяет сделать анализ о ее выполнении.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Кроме этого, в Отчете отражены суммы с учетом налога на добавленную стоимость, подлежащего зачислению в федеральный бюджет, в связи с чем, отчетная сумма отличается от суммы кассовых поступлений в городской бюджет по причине самостоятельной уплаты налога юридическим лицом или индивидуальным предпринимателем в случае, когда они являлись стороной сделки по приватизации. Более того, в Отчете отсутствуют сведения о цене продажи основных средств (нежилых помещений) и земельных участков, при этом в доходах городского бюджета данные поступления учитываются по отдельным кодам бюджетной классификации</w:t>
      </w:r>
      <w:r>
        <w:rPr>
          <w:sz w:val="28"/>
          <w:szCs w:val="28"/>
          <w:lang w:eastAsia="en-US"/>
        </w:rPr>
        <w:t>.</w:t>
      </w:r>
    </w:p>
    <w:p w:rsidR="00B14C2A" w:rsidRDefault="00B14C2A">
      <w:pPr>
        <w:tabs>
          <w:tab w:val="left" w:pos="1134"/>
        </w:tabs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 xml:space="preserve">7. </w:t>
      </w:r>
      <w:r>
        <w:rPr>
          <w:sz w:val="28"/>
          <w:szCs w:val="28"/>
          <w:lang w:eastAsia="en-US"/>
        </w:rPr>
        <w:t xml:space="preserve">Объем безвозмездных поступлений в городской бюджет составил </w:t>
      </w:r>
      <w:r>
        <w:rPr>
          <w:sz w:val="28"/>
        </w:rPr>
        <w:t>18 034 831,6 тыс. рублей или 97,2% от уточненных бюджетных назначений и 114,8% от поступлений 2023 года (15 703 681,1 тыс. рублей)</w:t>
      </w:r>
      <w:r>
        <w:rPr>
          <w:sz w:val="28"/>
          <w:szCs w:val="28"/>
          <w:lang w:eastAsia="en-US"/>
        </w:rPr>
        <w:t>.</w:t>
      </w:r>
    </w:p>
    <w:p w:rsidR="00B14C2A" w:rsidRDefault="00576BD1">
      <w:pPr>
        <w:ind w:left="0" w:firstLine="709"/>
        <w:contextualSpacing/>
        <w:jc w:val="both"/>
        <w:rPr>
          <w:sz w:val="28"/>
        </w:rPr>
      </w:pPr>
      <w:r>
        <w:rPr>
          <w:b/>
          <w:sz w:val="28"/>
        </w:rPr>
        <w:t xml:space="preserve">7.1. </w:t>
      </w:r>
      <w:r>
        <w:rPr>
          <w:sz w:val="28"/>
        </w:rPr>
        <w:t>Основной объем безвозмездных поступлений обеспечен безвозмездными поступлениями от других бюджетов бюджетной системы РФ, которые в отчетном году поступили в городской бюджет в виде дотаций, субсидий, субвенций и иных межбюджетных трансфертов в общей сумме 18 044 164,2 тыс. рублей, что составило 97,2% от уточненных бюджетных назначений (18 557 611,7 тыс. рублей) и 114,8% от поступлений 2023 года (15 713 433,7 тыс. рублей)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Дотации в отчетном году поступили в местный бюджет </w:t>
      </w:r>
      <w:r>
        <w:rPr>
          <w:sz w:val="28"/>
          <w:szCs w:val="28"/>
        </w:rPr>
        <w:t>в общем объеме 1 229 129,0 тыс. рублей или 80,4% от плановых показателей (1 528 177,6 тыс. рублей)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По сравнению с поступлениями 2023 года (1 868 440,9 тыс. рублей) объем дотаций местному бюджету сократился на сумму 639 311,9 тыс. рублей или на 34,2%. Основной причиной данного сокращения является снижение дотации </w:t>
      </w:r>
      <w:r>
        <w:rPr>
          <w:color w:val="000000"/>
          <w:sz w:val="28"/>
          <w:szCs w:val="28"/>
        </w:rPr>
        <w:t>на выравнивание бюджетной обеспеченности</w:t>
      </w:r>
      <w:r>
        <w:rPr>
          <w:sz w:val="28"/>
          <w:szCs w:val="28"/>
        </w:rPr>
        <w:t>, которая по сравнению с показателем прошлого года (1 463 593,9 тыс. рублей) уменьшилась на 663 631,90 тыс. рублей или в 1,8 раза, в основном за счет сокращения в ее составе дотации на осуществление функций административного центра на сумму 643 095,0 тыс. рублей, которая в 2023 году составляла 1 394 900,0 тыс. рублей.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отчетном году, как и в период начиная с 2019 года, доля дотаций в бюджете города Оренбурга, исчисленная в соответствии со статьей 136 Бюджетного кодекса РФ (с учетом редакции Федерального закона от 26.02.2024 № 36-ФЗ), превышает установленный минимальный 5-ти процентный предел (в 2024 году – 5,6%). В связи с чем, начиная с 2022 года в отношении муниципального образования «город Оренбург» Правительством Оренбургской области ежегодно устанавливаются нормативы расходов на содержание органов местного самоуправления и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самоуправления. Установление данных нормативов отражается на ограничении органов местного самоуправления в принятии решений по указанным вопросам.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7.2. </w:t>
      </w:r>
      <w:r>
        <w:rPr>
          <w:sz w:val="28"/>
          <w:szCs w:val="28"/>
          <w:lang w:eastAsia="en-US"/>
        </w:rPr>
        <w:t xml:space="preserve">В отчетном году в бюджет города Оренбурга поступил 31 вид межбюджетных субсидий на софинансирование расходов в сфере дорожного и жилищного хозяйства, образования, физической культуры и культуры в общем объеме </w:t>
      </w:r>
      <w:r>
        <w:rPr>
          <w:sz w:val="28"/>
          <w:szCs w:val="28"/>
        </w:rPr>
        <w:t>9 872 305,0 тыс. рублей, что составило 98,4% от уточненного плана</w:t>
      </w:r>
      <w:r>
        <w:rPr>
          <w:sz w:val="28"/>
          <w:szCs w:val="28"/>
          <w:lang w:eastAsia="en-US"/>
        </w:rPr>
        <w:t xml:space="preserve">.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Основной объем субсидий поступил в местный бюджет в 2024 году в соответствии с утвержденными показателями, за исключением 12-ти видов субсидий, которые не исполнены на общую сумму 163 794,2 тыс. рублей, что составило 1,6% от общего объема плановых показателей по межбюджетным субсидиям. Ниже установленного финансовым управлением критерия (95,0%) исполнение сложилось по шести видам субсидий, в том числе: на дополнительное финансовое обеспечение мероприятий по организации питания обучающихся 5-11 классов (51,4%), на обеспечение бесплатным двухразовым питанием лиц с ограниченными возможностями здоровья, обучающихся в муниципальных </w:t>
      </w:r>
      <w:r>
        <w:rPr>
          <w:iCs/>
          <w:sz w:val="28"/>
          <w:szCs w:val="28"/>
        </w:rPr>
        <w:lastRenderedPageBreak/>
        <w:t>общеобразовательных организациях (80,7%), на модернизацию объектов муниципальной собственности для размещения общеобразовательных организаций (81,5%), на модернизацию объектов муниципальной собственности для размещения дошкольных образовательных организаций (92,6%),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(93,0%) и на создание объектов инфраструктуры в целях реализации инфраструктурных объектов (94,7%).</w:t>
      </w:r>
    </w:p>
    <w:p w:rsidR="00B14C2A" w:rsidRDefault="00576BD1">
      <w:p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сравнению с поступлениями 2023 года (7 839 324,4 тыс. рублей) объем полученных в 2024 году субсидий увеличился на 2 032 980,6 тыс. рублей или на 25,9%. Основной причиной данного роста является поступление субсидии за счет средств резервного фонда Правительства РФ в сумме 2 440 567,3 тыс. рублей, которые ранее отсутствовали в местном бюджете. Кроме этого, в 2024 году увеличены субсидии относительно 2023 года на создание новых мест в общеобразовательных организациях в связи с ростом числа обучающихся, вызванным демографическим фактором (на 890 448,8 тыс. рублей или в 2,0 раза), на стимулирование программ развития жилищного строительства (на 630 960,9 тыс. рублей или в 21,9 раза) и на финансовое обеспечение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(на 456 617,0 тыс. рублей или в 7,0 раз).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7.3. </w:t>
      </w:r>
      <w:r>
        <w:rPr>
          <w:sz w:val="28"/>
          <w:szCs w:val="28"/>
        </w:rPr>
        <w:t xml:space="preserve">В 2024 году в бюджет города Оренбурга поступило </w:t>
      </w:r>
      <w:r>
        <w:rPr>
          <w:sz w:val="28"/>
          <w:szCs w:val="28"/>
          <w:lang w:eastAsia="en-US"/>
        </w:rPr>
        <w:t xml:space="preserve">19 видов субвенций, </w:t>
      </w:r>
      <w:r>
        <w:rPr>
          <w:sz w:val="28"/>
          <w:szCs w:val="28"/>
        </w:rPr>
        <w:t xml:space="preserve">направляемых из областного бюджета на финансовое обеспечение переданных полномочий в сфере образования, социальной политики, государственной регистрации актов гражданского состояния, жилищно-коммунального хозяйства и транспорта, в общем объеме 6 675 382,6 тыс. рублей, что составило 99,3% от плановых показателей. </w:t>
      </w:r>
    </w:p>
    <w:p w:rsidR="00B14C2A" w:rsidRDefault="00576BD1">
      <w:p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Основной объем субвенций поступил в местный бюджет в 2024 году в соответствии с утвержденными показателями, за исключением восьми видов субвенций, которые не исполнены на общую сумму 49 987,6 тыс. рублей, что составило 0,7% от общего объема плановых показателей по субвенциям. Ниже установленного финансовым управлением критерия (95,0%) исполнение сложилось по четырем видам субвенций, в том числе: на финансовое обеспечение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 (33,0%), на 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госаккредитацию основным общеобразовательным программам (74,8%),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(81,6%) и на осуществление </w:t>
      </w:r>
      <w:r>
        <w:rPr>
          <w:iCs/>
          <w:sz w:val="28"/>
          <w:szCs w:val="28"/>
        </w:rPr>
        <w:lastRenderedPageBreak/>
        <w:t>отдельных государственных полномочий в сфере обращения с животными без владельцев (90,1%).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поступлениями 2023 года (5 744 381,3 тыс. рублей) объем полученных в отчетном году субвенций увеличился на 931 001,3 тыс. рублей или на 16,2%, что, в основном, обеспечено увеличением объемов субвенций на исполнение переданных государственных полномочий в сфере образования (обеспечение государственных гарантий реализации прав на получение общедоступного и бесплатного образования - на 634 705,0 тыс. рублей или на 12,7%), социальной политики (предоставление жилых помещений детям-сиротам – на 285 517,2 тыс. рублей или на 88,9%) и в сфере санитарно-эпидемиологического надзора и благополучия населения (осуществление отдельных государственных полномочий в сфере обращения с животными без владельцев – на 11 645,4 тыс. рублей или в 3,4 раза).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7.4. </w:t>
      </w:r>
      <w:r>
        <w:rPr>
          <w:sz w:val="28"/>
          <w:szCs w:val="28"/>
        </w:rPr>
        <w:t xml:space="preserve">Иные межбюджетные трансферты поступили </w:t>
      </w:r>
      <w:r>
        <w:rPr>
          <w:sz w:val="28"/>
          <w:szCs w:val="28"/>
          <w:lang w:eastAsia="en-US"/>
        </w:rPr>
        <w:t xml:space="preserve">в 2024 году в местный бюджет в общем объеме </w:t>
      </w:r>
      <w:r>
        <w:rPr>
          <w:sz w:val="28"/>
          <w:szCs w:val="28"/>
        </w:rPr>
        <w:t>267 347,6 тыс. рублей, что составило 99,8% от планового показателя (267 964,7 тыс. рублей)</w:t>
      </w:r>
      <w:r>
        <w:rPr>
          <w:sz w:val="28"/>
          <w:szCs w:val="28"/>
          <w:lang w:eastAsia="en-US"/>
        </w:rPr>
        <w:t xml:space="preserve"> и 102,3% от показателя прошлого года (</w:t>
      </w:r>
      <w:r>
        <w:rPr>
          <w:sz w:val="28"/>
          <w:szCs w:val="28"/>
        </w:rPr>
        <w:t>261 287,3</w:t>
      </w:r>
      <w:r>
        <w:rPr>
          <w:sz w:val="28"/>
          <w:szCs w:val="28"/>
          <w:lang w:eastAsia="en-US"/>
        </w:rPr>
        <w:t xml:space="preserve"> тыс. рублей). </w:t>
      </w:r>
      <w:r>
        <w:rPr>
          <w:sz w:val="28"/>
          <w:szCs w:val="28"/>
        </w:rPr>
        <w:t>Основной причиной данного увеличения является поступление в отчетном году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 профессиональных образовательных организаций, а также рост ранее поступавших трансфертов.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7.5.</w:t>
      </w:r>
      <w:r>
        <w:rPr>
          <w:sz w:val="28"/>
          <w:szCs w:val="28"/>
          <w:lang w:eastAsia="en-US"/>
        </w:rPr>
        <w:t xml:space="preserve"> Общий объем безвозмездных поступлений в бюджет города Оренбурга от негосударственных организаций в отчетном году составил </w:t>
      </w:r>
      <w:r>
        <w:rPr>
          <w:sz w:val="28"/>
          <w:szCs w:val="28"/>
        </w:rPr>
        <w:t>4 650,0 тыс. рублей или 97,5% от плановых назначений (4 768,0 тыс. рублей) и 101,3% от показателя 2023 года (4 709,0 тыс. рублей)</w:t>
      </w:r>
      <w:r>
        <w:rPr>
          <w:sz w:val="28"/>
          <w:szCs w:val="28"/>
          <w:lang w:eastAsia="en-US"/>
        </w:rPr>
        <w:t xml:space="preserve">. В 2024 году получателями безвозмездных поступлений от негосударственных организаций являлись: </w:t>
      </w:r>
    </w:p>
    <w:p w:rsidR="00B14C2A" w:rsidRDefault="00576BD1">
      <w:pPr>
        <w:numPr>
          <w:ilvl w:val="0"/>
          <w:numId w:val="5"/>
        </w:numPr>
        <w:tabs>
          <w:tab w:val="left" w:pos="1134"/>
        </w:tabs>
        <w:ind w:left="0" w:right="-3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Оренбурга – 4 500,0 тыс. рублей или 100,0% от плана (поступления от ООО «Газпромнефть-Оренбург» финансовой помощи на капитальный ремонт системы отопления Дома культуры п. Бердянка с проектированием и проведением косметического ремонта);</w:t>
      </w:r>
    </w:p>
    <w:p w:rsidR="00B14C2A" w:rsidRDefault="00576BD1">
      <w:pPr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УСП – 150,0 тыс. рублей или 56,0% от плана (268,0 тыс. рублей). Согласно бюджетной отчетности УСП, неисполнение плановых показателей связано с тем, что «поступления от денежных пожертвований, предоставляемых негосударственными организациями, осуществляются в добровольном порядке и зависят от достигнутых договоренностей (уменьшение количества и сумм пожертвований по сравнению с запланированными)».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7.6. </w:t>
      </w:r>
      <w:r>
        <w:rPr>
          <w:sz w:val="28"/>
          <w:szCs w:val="28"/>
          <w:lang w:eastAsia="en-US"/>
        </w:rPr>
        <w:t xml:space="preserve">Прочие безвозмездные поступления </w:t>
      </w:r>
      <w:r>
        <w:rPr>
          <w:bCs/>
          <w:sz w:val="28"/>
          <w:szCs w:val="28"/>
        </w:rPr>
        <w:t>при плане 36,0 тыс. рублей, в 2024 году</w:t>
      </w:r>
      <w:r>
        <w:rPr>
          <w:sz w:val="28"/>
          <w:szCs w:val="28"/>
        </w:rPr>
        <w:t xml:space="preserve"> в бюджет города Оренбурга не производились. В 2023 году данные доходы составляли 9,0 тыс. рублей или 14,8% от плановых назначений (61,0 тыс. рублей). Главным администратором данных доходов являлось УСП. Согласно бюджетной отчетности УСП неисполнение плановых показателей связано с тем, что «поступления от денежных пожертвований, предоставляемых физическими лицами, осуществляются в добровольном порядке и зависят от достигнутых </w:t>
      </w:r>
      <w:r>
        <w:rPr>
          <w:sz w:val="28"/>
          <w:szCs w:val="28"/>
        </w:rPr>
        <w:lastRenderedPageBreak/>
        <w:t>договоренностей (уменьшение количества и сумм пожертвований по сравнению с запланированными)».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7.7. </w:t>
      </w:r>
      <w:r>
        <w:rPr>
          <w:sz w:val="28"/>
          <w:szCs w:val="28"/>
          <w:lang w:eastAsia="en-US"/>
        </w:rPr>
        <w:t xml:space="preserve">В бюджет города Оренбурга в 2024 году поступили возвраты остатков субсидий прошлых лет в общей сумме </w:t>
      </w:r>
      <w:r>
        <w:rPr>
          <w:sz w:val="28"/>
          <w:szCs w:val="28"/>
        </w:rPr>
        <w:t xml:space="preserve">3 241,8 </w:t>
      </w:r>
      <w:r>
        <w:rPr>
          <w:sz w:val="28"/>
          <w:szCs w:val="28"/>
          <w:lang w:eastAsia="en-US"/>
        </w:rPr>
        <w:t>тыс. рублей, которые в отчетном году вернули бюджетные и автономные учреждения, подведомственные Управлению образования (2 945,5 тыс. рублей) и Управлению по культуре и искусству (155,9 тыс. рублей), а также иные получатели субсидий (</w:t>
      </w:r>
      <w:r>
        <w:rPr>
          <w:sz w:val="28"/>
          <w:szCs w:val="28"/>
        </w:rPr>
        <w:t>КШП «Огонек» и КШП «Валентина»</w:t>
      </w:r>
      <w:r>
        <w:rPr>
          <w:sz w:val="28"/>
          <w:szCs w:val="28"/>
          <w:lang w:eastAsia="en-US"/>
        </w:rPr>
        <w:t xml:space="preserve"> (140,4 тыс. рублей), главный администратор доходов – Управление образования). 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7.8.</w:t>
      </w:r>
      <w:r>
        <w:rPr>
          <w:color w:val="000000"/>
          <w:sz w:val="28"/>
          <w:szCs w:val="28"/>
          <w:lang w:eastAsia="en-US"/>
        </w:rPr>
        <w:t xml:space="preserve"> В отчетном периоде из городского бюджета в бюджет Оренбургской области произведен возврат остатков субсидий, субвенций и иных межбюджетных трансфертов прошлых лет </w:t>
      </w:r>
      <w:r>
        <w:rPr>
          <w:sz w:val="28"/>
          <w:szCs w:val="28"/>
          <w:lang w:eastAsia="en-US"/>
        </w:rPr>
        <w:t xml:space="preserve">в общей сумме </w:t>
      </w:r>
      <w:r>
        <w:rPr>
          <w:sz w:val="28"/>
          <w:szCs w:val="28"/>
        </w:rPr>
        <w:t>17 224,4</w:t>
      </w:r>
      <w:r>
        <w:rPr>
          <w:sz w:val="28"/>
          <w:szCs w:val="28"/>
          <w:lang w:eastAsia="en-US"/>
        </w:rPr>
        <w:t xml:space="preserve"> тыс. рублей, в том числе: ДГиЗО – 14 090,9 тыс. рублей и Управлением образования – 3 133,5 тыс. рублей.</w:t>
      </w:r>
    </w:p>
    <w:p w:rsidR="00B14C2A" w:rsidRDefault="00B14C2A">
      <w:pPr>
        <w:ind w:left="0" w:firstLine="709"/>
        <w:contextualSpacing/>
        <w:jc w:val="both"/>
        <w:rPr>
          <w:sz w:val="12"/>
          <w:szCs w:val="12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</w:rPr>
        <w:t>8.</w:t>
      </w:r>
      <w:r>
        <w:rPr>
          <w:sz w:val="28"/>
        </w:rPr>
        <w:t xml:space="preserve"> Первоначально решением Оренбургского городского Совета от </w:t>
      </w:r>
      <w:r>
        <w:rPr>
          <w:sz w:val="28"/>
          <w:szCs w:val="28"/>
        </w:rPr>
        <w:t xml:space="preserve">22.12.2023 № 444 «О бюджете города Оренбурга на 2024 год и на плановый период 2025 и 2026 годов» </w:t>
      </w:r>
      <w:r>
        <w:rPr>
          <w:sz w:val="28"/>
        </w:rPr>
        <w:t xml:space="preserve">утверждены </w:t>
      </w:r>
      <w:r>
        <w:rPr>
          <w:sz w:val="28"/>
          <w:szCs w:val="28"/>
        </w:rPr>
        <w:t xml:space="preserve">бюджетные ассигнования городского бюджета </w:t>
      </w:r>
      <w:r>
        <w:rPr>
          <w:sz w:val="28"/>
        </w:rPr>
        <w:t xml:space="preserve">на 2024 год </w:t>
      </w:r>
      <w:r>
        <w:rPr>
          <w:sz w:val="28"/>
          <w:szCs w:val="28"/>
        </w:rPr>
        <w:t xml:space="preserve">в сумме </w:t>
      </w:r>
      <w:r>
        <w:rPr>
          <w:sz w:val="28"/>
        </w:rPr>
        <w:t>26 055 507,0</w:t>
      </w:r>
      <w:r>
        <w:rPr>
          <w:b/>
          <w:sz w:val="28"/>
        </w:rPr>
        <w:t xml:space="preserve"> </w:t>
      </w:r>
      <w:r>
        <w:rPr>
          <w:sz w:val="28"/>
        </w:rPr>
        <w:t>тыс. рублей</w:t>
      </w:r>
      <w:r>
        <w:rPr>
          <w:sz w:val="28"/>
          <w:szCs w:val="28"/>
        </w:rPr>
        <w:t>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исполнения бюджета в течение года в расходную часть решениями Оренбургского городского Совета внесены два изменения. В результате внесенных изменений, в редакции решения Оренбургского городского Совета от 24.12.2024 № 526 «О внесении изменений в решение Оренбургского городского Совета от 22.12.2023 № 444», бюджетные назначения на 2024 год увеличились по расходам на 3 357 051,4 тыс. рублей или на 12,9% и составили 29 412 558,4 тыс. рублей. Кроме этого, 25, 26, 27 и 28 декабря 2024 Финансовым управлением внесены изменения в Сводную бюджетную роспись по расходам бюджета города Оренбурга (далее - СБР), в результате которых общий объем бюджетных ассигнований на 2024 год сократился на 299 936,7 тыс. рублей и составил 29 112 621,7 тыс. рублей. 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Значительное увеличение объема бюджетных ассигнований относительно первоначально утвержденных произведено по разделам </w:t>
      </w:r>
      <w:r>
        <w:rPr>
          <w:bCs/>
          <w:sz w:val="28"/>
          <w:szCs w:val="28"/>
        </w:rPr>
        <w:t xml:space="preserve">0500 «Жилищно-коммунальное хозяйство» </w:t>
      </w:r>
      <w:r>
        <w:rPr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на </w:t>
      </w:r>
      <w:r>
        <w:rPr>
          <w:sz w:val="28"/>
          <w:szCs w:val="28"/>
        </w:rPr>
        <w:t xml:space="preserve">3 174 970,5 тыс. рублей или на 179,6% и 0400 «Национальная экономика» – на 690 529,0 тыс. рублей или на 9,5%, а сокращение бюджетных ассигнований по разделу </w:t>
      </w:r>
      <w:r>
        <w:rPr>
          <w:bCs/>
          <w:sz w:val="28"/>
          <w:szCs w:val="28"/>
        </w:rPr>
        <w:t>0700 «</w:t>
      </w:r>
      <w:r>
        <w:rPr>
          <w:sz w:val="28"/>
          <w:szCs w:val="28"/>
        </w:rPr>
        <w:t>Образование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на </w:t>
      </w:r>
      <w:r>
        <w:rPr>
          <w:sz w:val="28"/>
          <w:szCs w:val="28"/>
        </w:rPr>
        <w:t xml:space="preserve">1 018 376,3 </w:t>
      </w:r>
      <w:r>
        <w:rPr>
          <w:bCs/>
          <w:sz w:val="28"/>
          <w:szCs w:val="28"/>
        </w:rPr>
        <w:t>тыс. рублей или на 7,3%</w:t>
      </w:r>
      <w:r>
        <w:rPr>
          <w:sz w:val="28"/>
          <w:szCs w:val="28"/>
        </w:rPr>
        <w:t>.</w:t>
      </w:r>
    </w:p>
    <w:p w:rsidR="00B14C2A" w:rsidRDefault="00B14C2A">
      <w:pPr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sz w:val="28"/>
          <w:szCs w:val="28"/>
          <w:lang w:eastAsia="en-US"/>
        </w:rPr>
        <w:t xml:space="preserve">В </w:t>
      </w:r>
      <w:r>
        <w:rPr>
          <w:sz w:val="28"/>
          <w:szCs w:val="28"/>
        </w:rPr>
        <w:t>соответствии с Отчетом об исполнении бюджета города Оренбурга кассовое исполнение бюджета по расходам в 2024 году составило 28 120 833,2 тыс. рублей или 96,6% от утвержденных бюджетных назначений, в том числе программные расходы бюджета составили 27 579 802,7 тыс. рублей или 94,7% от общего объема бюджетных ассигнований (29 112 621,7 тыс. рублей).</w:t>
      </w:r>
    </w:p>
    <w:p w:rsidR="00B14C2A" w:rsidRDefault="00576BD1">
      <w:pPr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Кассовые расходы бюджета в отчетном периоде произведены по 11-ти разделам бюджетной классификации расходов. В структуре расходов бюджета, произведенных в отчетном периоде, наибольший удельный вес составили расходы по разделам 0700 «Образование» 45,1% (12 692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915,1 тыс. рублей), 0400 «Национальная экономика» – 27,1% (7 630 365,5 тыс. рублей) и 0500 «Жилищно-коммунальное хозяйство» – 16,7% (4 688 846,5 тыс. рублей). Расходы по разделам </w:t>
      </w:r>
      <w:r>
        <w:rPr>
          <w:sz w:val="28"/>
          <w:szCs w:val="28"/>
        </w:rPr>
        <w:lastRenderedPageBreak/>
        <w:t>0100 «Общегосударственные вопросы» – 3,6% (1 022 209,7 тыс. рублей) и 1000 «Социальная политика» – 3,4% (956 426,0 тыс. рублей). Общая доля расходов по прочим разделам составил 4,1% (1 130 070,4 тыс. рублей).</w:t>
      </w:r>
    </w:p>
    <w:p w:rsidR="00B14C2A" w:rsidRDefault="00B14C2A">
      <w:pPr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9.1. </w:t>
      </w:r>
      <w:r>
        <w:rPr>
          <w:sz w:val="28"/>
          <w:szCs w:val="28"/>
        </w:rPr>
        <w:t>По сравнению с соответствующим показателем 2023 года (</w:t>
      </w:r>
      <w:r>
        <w:rPr>
          <w:bCs/>
          <w:sz w:val="28"/>
          <w:szCs w:val="28"/>
        </w:rPr>
        <w:t>23 878 772,0 тыс. рублей</w:t>
      </w:r>
      <w:r>
        <w:rPr>
          <w:sz w:val="28"/>
          <w:szCs w:val="28"/>
        </w:rPr>
        <w:t xml:space="preserve">) общий объем кассовых расходов бюджета в 2024 году увеличился на 4 242 061,2 тыс. рублей или на 17,8%, что, в основном, обеспечено </w:t>
      </w:r>
      <w:r>
        <w:rPr>
          <w:sz w:val="28"/>
          <w:szCs w:val="28"/>
          <w:lang w:eastAsia="en-US"/>
        </w:rPr>
        <w:t xml:space="preserve">ростом расходов по </w:t>
      </w:r>
      <w:r>
        <w:rPr>
          <w:sz w:val="28"/>
          <w:szCs w:val="28"/>
        </w:rPr>
        <w:t xml:space="preserve">шести разделам на общую сумму 5 357 574,6 тыс. рублей, из них: 0400 «Национальная экономика» (на 3 071 408,3 тыс. рублей или на 67,4%) и 0500 «Жилищно-коммунальное хозяйство» (на 1 773 242,9 тыс. рублей </w:t>
      </w:r>
      <w:r>
        <w:rPr>
          <w:bCs/>
          <w:sz w:val="28"/>
          <w:szCs w:val="28"/>
        </w:rPr>
        <w:t>или на 60,8%</w:t>
      </w:r>
      <w:r>
        <w:rPr>
          <w:sz w:val="28"/>
          <w:szCs w:val="28"/>
        </w:rPr>
        <w:t>).</w:t>
      </w:r>
      <w:r>
        <w:rPr>
          <w:bCs/>
          <w:sz w:val="28"/>
          <w:szCs w:val="28"/>
        </w:rPr>
        <w:t xml:space="preserve"> Од</w:t>
      </w:r>
      <w:r>
        <w:rPr>
          <w:sz w:val="28"/>
          <w:szCs w:val="28"/>
        </w:rPr>
        <w:t xml:space="preserve">новременно в 2024 году сократились расходы относительно показателей предыдущего года по шести разделам на общую сумму 1 115 513,4 тыс. рублей. Основной объем сокращения произведен по разделу 0700 «Образование» </w:t>
      </w:r>
      <w:r>
        <w:rPr>
          <w:bCs/>
          <w:sz w:val="28"/>
          <w:szCs w:val="28"/>
        </w:rPr>
        <w:t xml:space="preserve">(на </w:t>
      </w:r>
      <w:r>
        <w:rPr>
          <w:sz w:val="28"/>
          <w:szCs w:val="28"/>
        </w:rPr>
        <w:t xml:space="preserve">646 902,5 </w:t>
      </w:r>
      <w:r>
        <w:rPr>
          <w:bCs/>
          <w:sz w:val="28"/>
          <w:szCs w:val="28"/>
        </w:rPr>
        <w:t>тыс. рублей или на 4,8%) и 0600 «Охрана окружающей среды» (на 461 679,3 тыс. рублей или на 97,9%).</w:t>
      </w:r>
    </w:p>
    <w:p w:rsidR="00B14C2A" w:rsidRDefault="00B14C2A">
      <w:pPr>
        <w:ind w:left="0" w:firstLine="709"/>
        <w:contextualSpacing/>
        <w:jc w:val="both"/>
        <w:rPr>
          <w:bCs/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10.</w:t>
      </w:r>
      <w:r>
        <w:rPr>
          <w:sz w:val="28"/>
          <w:szCs w:val="28"/>
          <w:lang w:eastAsia="en-US"/>
        </w:rPr>
        <w:t xml:space="preserve"> В разрезе групп видов расходов основной объем кассовых расходов в отчетном году направлен на: «Предоставление субсидий бюджетным, автономным учреждениям и иным некоммерческим организациям» – </w:t>
      </w:r>
      <w:r>
        <w:rPr>
          <w:sz w:val="28"/>
          <w:szCs w:val="28"/>
        </w:rPr>
        <w:t>12 519 551,4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тыс. рублей или 44,5%</w:t>
      </w:r>
      <w:r>
        <w:rPr>
          <w:sz w:val="28"/>
          <w:szCs w:val="28"/>
          <w:lang w:eastAsia="en-US"/>
        </w:rPr>
        <w:t xml:space="preserve"> от общего объема расходов бюджета (в 2023 году 11 423 650,5 тыс. рублей или 47,8%</w:t>
      </w:r>
      <w:r>
        <w:rPr>
          <w:bCs/>
          <w:sz w:val="28"/>
          <w:szCs w:val="20"/>
          <w:lang w:eastAsia="en-US"/>
        </w:rPr>
        <w:t xml:space="preserve"> от общего объема расходов бюджета</w:t>
      </w:r>
      <w:r>
        <w:rPr>
          <w:sz w:val="28"/>
          <w:szCs w:val="28"/>
          <w:lang w:eastAsia="en-US"/>
        </w:rPr>
        <w:t xml:space="preserve">), «Закупку товаров, работ и услуг для обеспечения государственных (муниципальных) нужд» – </w:t>
      </w:r>
      <w:r>
        <w:rPr>
          <w:sz w:val="28"/>
          <w:szCs w:val="28"/>
        </w:rPr>
        <w:t>6 386 382,4 тыс. рублей или 22,7%</w:t>
      </w:r>
      <w:r>
        <w:rPr>
          <w:sz w:val="28"/>
          <w:szCs w:val="28"/>
          <w:lang w:eastAsia="en-US"/>
        </w:rPr>
        <w:t xml:space="preserve"> от общего объема расходов бюджета (в 2022 году 4 544 904,4 тыс. рублей или 19,0% от общего объема расходов бюджета) и «Капитальные вложения в объекты государственной (муниципальной) собственности» – </w:t>
      </w:r>
      <w:r>
        <w:rPr>
          <w:sz w:val="28"/>
          <w:szCs w:val="28"/>
        </w:rPr>
        <w:t>5 516 908,0 тыс. рублей или 19,6%</w:t>
      </w:r>
      <w:r>
        <w:rPr>
          <w:sz w:val="28"/>
          <w:szCs w:val="28"/>
          <w:lang w:eastAsia="en-US"/>
        </w:rPr>
        <w:t xml:space="preserve"> от общего объема расходов бюджета (в 2023 году 5 627 962,6 тыс. рублей или 23,6% от общего объема расходов бюджета).</w:t>
      </w:r>
    </w:p>
    <w:p w:rsidR="00B14C2A" w:rsidRDefault="00B14C2A">
      <w:pPr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11. </w:t>
      </w:r>
      <w:r>
        <w:rPr>
          <w:sz w:val="28"/>
          <w:szCs w:val="28"/>
          <w:lang w:eastAsia="en-US"/>
        </w:rPr>
        <w:t xml:space="preserve">Расходную часть бюджета города Оренбурга в 2024 году исполняли 19 главных распорядителей бюджетных средств. 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Около 95% от общего объема расходов городского бюджета в отчетном периоде произвели семь главных распорядителей бюджетных средств: </w:t>
      </w:r>
      <w:r>
        <w:rPr>
          <w:sz w:val="28"/>
          <w:szCs w:val="28"/>
        </w:rPr>
        <w:t>Управление образования (11 473 659,0 тыс. рублей или 40,8% от общего объема расходов), Департамент градостроительства и земельных отношений (9 679 832,0 тыс. рублей или 34,4%), Администрация города Оренбурга (1 450 991,0 тыс. рублей или 5,2%), Департамент имущественных и жилищных отношений (1 354 329,8 тыс. рублей или 4,8%), Управление жилищно-коммунального хозяйства (1 168 452,1 тыс. рублей или 4,2%), Управление по культуре и искусству (853 865,0 тыс. рублей или 3,0%), Администрация Южного округа (585 072,3 тыс. рублей или 2,1%) и Администрация Северного округа (552 491,1 тыс. рублей или 2,0%).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Управление записи актов гражданского состояния бюджетные ассигнования исполнены на уровне 100,0%. 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уровне выше 99,0% исполнили утвержденные бюджетные назначения четыре ГРБС – Счетная палата (99,4%), Оренбургский городской Совет (99,3%), Управление по социальной политики (99,3%), Департамент имущественных и жилых отношений (99,1%).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На уровне выше 95,0% исполнили утвержденные бюджетные назначения 10 </w:t>
      </w:r>
      <w:r>
        <w:rPr>
          <w:sz w:val="28"/>
          <w:szCs w:val="28"/>
        </w:rPr>
        <w:t>ГРБС: Управление по гражданской обороне, чрезвычайным ситуациям и пожарной безопасности (98,4%), Комитет потребительского рынка, услуг и развития предпринимательства (98,3%), Контрольно-ревизионное управление (98,3%), Управление образования (97,6%), Управление по культуре и искусству (97,1%), Администрация Северного округа (96,1%), Управление молодежной политики (95,9%),</w:t>
      </w:r>
      <w:r>
        <w:t xml:space="preserve"> </w:t>
      </w:r>
      <w:r>
        <w:rPr>
          <w:sz w:val="28"/>
          <w:szCs w:val="28"/>
        </w:rPr>
        <w:t>Департамент градостроительства и земельных отношений (95,8%), Администрация города Оренбурга (95,5%) и Финансовое управление (95,1%).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Четыре главных распорядителей бюджетных средств исполнили бюджетные ассигнования на уровне ниже 95,0%, в том числе:</w:t>
      </w:r>
    </w:p>
    <w:p w:rsidR="00B14C2A" w:rsidRDefault="00576BD1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физической культуре и спорту – 94,6%, в связи с низким исполнением бюджетных назначений, утвержденных на капитальный, текущий ремонт и укрепление материально-технической базы муниципальных спортивных учреждений (52 658,4 тыс. рублей или 65,1%);</w:t>
      </w:r>
    </w:p>
    <w:p w:rsidR="00B14C2A" w:rsidRDefault="00576BD1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жилищно-коммунального хозяйства – 93,7%, в связи с низким исполнением бюджетных назначений, утвержденных на субсидии на мероприятия по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объектов жилищно-коммунального хозяйства (715 868,7 тыс. рублей или 91,7%);</w:t>
      </w:r>
    </w:p>
    <w:p w:rsidR="00B14C2A" w:rsidRDefault="00576BD1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по информатике и связи – 93,0%, в связи с низким исполнением бюджетных назначений, утвержденных на центральный аппарат (25 764,4 тыс. рублей или 93,4%) и модернизацию, развитие и защиту инфраструктуры муниципальной сети, функционирование информационных систем и передачи данных (9 130,0 тыс. рублей или 91,9%);</w:t>
      </w:r>
    </w:p>
    <w:p w:rsidR="00B14C2A" w:rsidRDefault="00576BD1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Южного округа – 92,7%, в связи с низким исполнением бюджетных назначений, утвержденных на ликвидацию несанкционированных свалок (кассовое исполнение расходов не осуществлялось), обеспечение деятельности подведомственных учреждений (344 603,8 тыс. рублей или 94,4%), реализация мероприятий по благоустройству и содержанию территории округа (112 786,4 тыс. рублей или 95,0%) и содержание и обустройство мест (площадок) накопления ТКО (11 134,3 тыс. рублей или 66,4%).</w:t>
      </w:r>
    </w:p>
    <w:p w:rsidR="00B14C2A" w:rsidRDefault="00B14C2A">
      <w:pPr>
        <w:tabs>
          <w:tab w:val="left" w:pos="1134"/>
        </w:tabs>
        <w:ind w:left="709"/>
        <w:contextualSpacing/>
        <w:jc w:val="both"/>
        <w:rPr>
          <w:sz w:val="12"/>
          <w:szCs w:val="12"/>
        </w:rPr>
      </w:pP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b/>
          <w:sz w:val="28"/>
          <w:szCs w:val="28"/>
          <w:lang w:eastAsia="en-US"/>
        </w:rPr>
        <w:t>12.</w:t>
      </w:r>
      <w:r>
        <w:rPr>
          <w:sz w:val="28"/>
          <w:szCs w:val="28"/>
          <w:lang w:eastAsia="en-US"/>
        </w:rPr>
        <w:t xml:space="preserve"> Объем неисполненных бюджетных расходов в 2024 году составил                        </w:t>
      </w:r>
      <w:r>
        <w:rPr>
          <w:sz w:val="28"/>
          <w:szCs w:val="28"/>
        </w:rPr>
        <w:t>991 788,5</w:t>
      </w:r>
      <w:r>
        <w:rPr>
          <w:sz w:val="28"/>
          <w:szCs w:val="28"/>
          <w:lang w:eastAsia="en-US"/>
        </w:rPr>
        <w:t xml:space="preserve"> тыс. рублей. Согласно бюджетной отчетности ГРБС и годовой бюджетной отчетности об исполнении бюджета города Оренбурга за 2024 год основными причинами, негативно повлиявшими на исполнение бюджетных назначений по расходам, являлись: финансирование расходов по факту выполнения работ, услуг (на основании актов выполненных строительно-монтажных работ, оказанных услуг и т.д.), </w:t>
      </w:r>
      <w:r>
        <w:rPr>
          <w:sz w:val="28"/>
          <w:szCs w:val="28"/>
        </w:rPr>
        <w:t>заявительный характер выплат, нарушение подрядными организациями сроков исполнения и иных условий контрактов, повлекшее судебные процедуры и иные причины</w:t>
      </w:r>
      <w:r>
        <w:rPr>
          <w:sz w:val="28"/>
          <w:szCs w:val="28"/>
          <w:lang w:eastAsia="en-US"/>
        </w:rPr>
        <w:t>.</w:t>
      </w:r>
    </w:p>
    <w:p w:rsidR="00B14C2A" w:rsidRDefault="00B14C2A">
      <w:pPr>
        <w:ind w:left="0" w:firstLine="720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13.</w:t>
      </w:r>
      <w:r>
        <w:rPr>
          <w:sz w:val="28"/>
          <w:szCs w:val="28"/>
          <w:lang w:eastAsia="en-US"/>
        </w:rPr>
        <w:t xml:space="preserve"> По состоянию на 01.01.2025 по расходам сформировалась:</w:t>
      </w:r>
    </w:p>
    <w:p w:rsidR="00B14C2A" w:rsidRDefault="00576BD1">
      <w:pPr>
        <w:pStyle w:val="af0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дебиторская задолженность (авансовые платежи) в сумме 3 499 480,9 тыс. рублей. По сравнению с показателем на 01.01.2024 (1 825 128,8 тыс. рублей) данная задолженность увеличилась на 1 674 352,1 тыс. рублей или 91,7%;</w:t>
      </w:r>
    </w:p>
    <w:p w:rsidR="00B14C2A" w:rsidRDefault="00576BD1">
      <w:pPr>
        <w:pStyle w:val="af0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в сумме 302 833,3 тыс. рублей. Относительно показателя на 01.01.2024 (262 610,6 тыс. рублей) сумма кредиторской задолженности увеличилась на 40 222,7 тыс. рублей или 15,3%.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7"/>
        </w:rPr>
        <w:t xml:space="preserve">Общая сумма задолженности по расчетам с контрагентами, в отношении которой не проведена инвентаризация, в связи с чем, отсутствует подтверждение ее фактического наличия в отраженных суммах, составила 200 274,7 тыс. рублей или 10,3% от общей суммы отраженной по расходам задолженности, в том числе: </w:t>
      </w:r>
      <w:r>
        <w:rPr>
          <w:sz w:val="28"/>
          <w:szCs w:val="28"/>
        </w:rPr>
        <w:t>ДГиЗО – 130 555,6 тыс. рублей, Администрация Южного округа – 52 915,0 тыс. рублей, УЖКХ – 16 745,8 тыс. рублей и Администрация города Оренбурга – 58,3 тыс. рублей.</w:t>
      </w:r>
    </w:p>
    <w:p w:rsidR="00B14C2A" w:rsidRDefault="00B14C2A">
      <w:pPr>
        <w:tabs>
          <w:tab w:val="left" w:pos="1134"/>
        </w:tabs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7"/>
          <w:lang w:eastAsia="en-US"/>
        </w:rPr>
      </w:pPr>
      <w:r>
        <w:rPr>
          <w:b/>
          <w:sz w:val="28"/>
          <w:szCs w:val="28"/>
          <w:lang w:eastAsia="en-US"/>
        </w:rPr>
        <w:t>14.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7"/>
          <w:lang w:eastAsia="en-US"/>
        </w:rPr>
        <w:t>Пунктом 23 Решения о бюджете утверждены проектировки основных параметров минимального бюджета города Оренбурга на 2024 год, а именно:</w:t>
      </w:r>
    </w:p>
    <w:p w:rsidR="00B14C2A" w:rsidRDefault="00576BD1">
      <w:pPr>
        <w:ind w:left="0" w:firstLine="709"/>
        <w:contextualSpacing/>
        <w:jc w:val="both"/>
        <w:rPr>
          <w:sz w:val="28"/>
          <w:szCs w:val="27"/>
          <w:lang w:eastAsia="en-US"/>
        </w:rPr>
      </w:pPr>
      <w:r>
        <w:rPr>
          <w:sz w:val="28"/>
          <w:szCs w:val="27"/>
        </w:rPr>
        <w:t>расходы на оплату труда с начислениями – в объеме 5 481 457,4 тыс. рублей, в том числе по отдельным категориям работников с указанием размеров их средней заработной платы;</w:t>
      </w:r>
    </w:p>
    <w:p w:rsidR="00B14C2A" w:rsidRDefault="00576BD1">
      <w:pPr>
        <w:ind w:left="0" w:firstLine="709"/>
        <w:contextualSpacing/>
        <w:jc w:val="both"/>
        <w:rPr>
          <w:sz w:val="28"/>
          <w:szCs w:val="27"/>
          <w:lang w:eastAsia="en-US"/>
        </w:rPr>
      </w:pPr>
      <w:r>
        <w:rPr>
          <w:sz w:val="28"/>
          <w:szCs w:val="27"/>
        </w:rPr>
        <w:t>средняя заработная плата работников бюджетной сферы, поименованные в указах Президента Российской Федерации (от 49,5 тыс. рублей до 52,2 тыс. рублей);</w:t>
      </w:r>
    </w:p>
    <w:p w:rsidR="00B14C2A" w:rsidRDefault="00576BD1">
      <w:pPr>
        <w:ind w:left="0" w:firstLine="709"/>
        <w:contextualSpacing/>
        <w:jc w:val="both"/>
        <w:rPr>
          <w:sz w:val="28"/>
          <w:szCs w:val="27"/>
          <w:lang w:eastAsia="en-US"/>
        </w:rPr>
      </w:pPr>
      <w:r>
        <w:rPr>
          <w:sz w:val="28"/>
          <w:szCs w:val="27"/>
        </w:rPr>
        <w:t>численность работников бюджетной сферы, поименованных в указах Президента Российской Федерации – 1 698,1 человек, в том числе по отдельным категориям работников;</w:t>
      </w:r>
    </w:p>
    <w:p w:rsidR="00B14C2A" w:rsidRDefault="00576BD1">
      <w:pPr>
        <w:ind w:left="0" w:firstLine="709"/>
        <w:contextualSpacing/>
        <w:jc w:val="both"/>
        <w:rPr>
          <w:sz w:val="28"/>
          <w:szCs w:val="27"/>
          <w:lang w:eastAsia="en-US"/>
        </w:rPr>
      </w:pPr>
      <w:r>
        <w:rPr>
          <w:sz w:val="28"/>
          <w:szCs w:val="27"/>
        </w:rPr>
        <w:t>общий объем расходов на оплату коммунальных услуг учреждений, включая автономные и бюджетные учреждения – в сумме 688 280,5 тыс. рублей.</w:t>
      </w:r>
    </w:p>
    <w:p w:rsidR="00B14C2A" w:rsidRDefault="00576BD1">
      <w:pPr>
        <w:ind w:left="0" w:firstLine="709"/>
        <w:contextualSpacing/>
        <w:jc w:val="both"/>
        <w:rPr>
          <w:sz w:val="28"/>
          <w:szCs w:val="27"/>
          <w:lang w:eastAsia="en-US"/>
        </w:rPr>
      </w:pPr>
      <w:r>
        <w:rPr>
          <w:sz w:val="28"/>
          <w:szCs w:val="27"/>
        </w:rPr>
        <w:t>Счетная палата обращает внимание на отсутствие муниципальных правовых актов, определяющих порядок формирования проектировок основных параметров минимального бюджета города Оренбурга, порядка формирования информации (отчета) об исполнении утвержденных показателей. В бюджетной отчетности ГРБС и в бюджетной отчетности об исполнении бюджета города Оренбурга за 2024 год отсутствуют формы, отражающие сведения о достижении утвержденных показателей. В связи с чем, провести анализ исполнения в отчетном году Решения о бюджете в части установленных в приложении 13 показателей не представляется возможным.</w:t>
      </w:r>
    </w:p>
    <w:p w:rsidR="00B14C2A" w:rsidRDefault="00B14C2A">
      <w:pPr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>
        <w:rPr>
          <w:sz w:val="28"/>
          <w:szCs w:val="28"/>
        </w:rPr>
        <w:t>Решение о бюджете и сводная бюджетная роспись расходов бюджета города Оренбурга предусматривали финансирование 25-ти муниципальных программ.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Решению о бюджете, бюджетные ассигнования на реализацию муниципальных программ первоначально утверждены в общей сумме 25 702 965,9 тыс. рублей. По состоянию на конец отчетного периода сумма утвержденных ассигнований увеличилась на 3 160 708,2 тыс. рублей или на 12,3% и составила 28 863 674,1 тыс. рублей.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Бюджетные ассигнования на программные расходы в соответствии со Сводной бюджетной росписью по состоянию на 31.12.2024 составили 28 563 147,3 тыс. рублей, что на 300 526,8 тыс. рублей меньше объема ассигнований, утвержденного Решением о бюджете (28 863 674,1 тыс. рублей).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программных расходов сократился за счет:</w:t>
      </w:r>
    </w:p>
    <w:p w:rsidR="00B14C2A" w:rsidRDefault="00576BD1">
      <w:pPr>
        <w:pStyle w:val="af0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сокращения бюджетных ассигнований муниципальных программ: «Формирование современной городской среды на территории муниципального образования «город Оренбург» на 2018-2029 годы» на 300 000,0 тыс. рублей, «Доступное образование в городе Оренбурге» на 3 353,7 тыс. рублей,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на 90,0 тыс. рублей и «Переселение граждан муниципального образования «город Оренбург» из жилых домов, признанных аварийными» на 37,1 тыс. рублей.</w:t>
      </w:r>
    </w:p>
    <w:p w:rsidR="00B14C2A" w:rsidRDefault="00576BD1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увеличения бюджетных ассигнований муниципальной программы «Комплексное благоустройство территории Южного округа города Оренбурга» на 2 954,0 тыс. рублей.</w:t>
      </w:r>
    </w:p>
    <w:p w:rsidR="00B14C2A" w:rsidRDefault="00576BD1">
      <w:pPr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Общий объем доведенных </w:t>
      </w:r>
      <w:r>
        <w:rPr>
          <w:sz w:val="28"/>
          <w:szCs w:val="28"/>
          <w:lang w:eastAsia="en-US"/>
        </w:rPr>
        <w:t xml:space="preserve">до главных распорядителей бюджетных средств </w:t>
      </w:r>
      <w:r>
        <w:rPr>
          <w:sz w:val="28"/>
          <w:szCs w:val="28"/>
        </w:rPr>
        <w:t xml:space="preserve">лимитов бюджетных обязательств </w:t>
      </w:r>
      <w:r>
        <w:rPr>
          <w:bCs/>
          <w:sz w:val="28"/>
          <w:szCs w:val="28"/>
        </w:rPr>
        <w:t>на реализацию муниципальных программ</w:t>
      </w:r>
      <w:r>
        <w:rPr>
          <w:sz w:val="28"/>
          <w:szCs w:val="28"/>
          <w:lang w:eastAsia="en-US"/>
        </w:rPr>
        <w:t xml:space="preserve"> составил 28 520 493,2 </w:t>
      </w:r>
      <w:r>
        <w:rPr>
          <w:sz w:val="28"/>
          <w:szCs w:val="28"/>
        </w:rPr>
        <w:t>тыс. рублей, что на 42 654,1 тыс. рублей меньше утвержденных Сводной бюджетной росписью ассигнований</w:t>
      </w:r>
      <w:r>
        <w:rPr>
          <w:bCs/>
          <w:sz w:val="28"/>
          <w:szCs w:val="28"/>
        </w:rPr>
        <w:t>.</w:t>
      </w:r>
    </w:p>
    <w:p w:rsidR="00B14C2A" w:rsidRDefault="00576BD1">
      <w:pPr>
        <w:shd w:val="clear" w:color="auto" w:fill="FFFFFF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bCs/>
          <w:sz w:val="28"/>
        </w:rPr>
        <w:t>15.1.</w:t>
      </w:r>
      <w:r>
        <w:t xml:space="preserve"> </w:t>
      </w:r>
      <w:r>
        <w:rPr>
          <w:sz w:val="28"/>
          <w:szCs w:val="28"/>
        </w:rPr>
        <w:t xml:space="preserve">В соответствии с пунктом 35 статьи 3 Федерального закона от 28.06.2014 № 172-ФЗ «О стратегическом планировании в Российской Федерации» и пунктом 1.2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 (далее – Порядок № 1083-п) </w:t>
      </w:r>
      <w:r>
        <w:rPr>
          <w:rFonts w:eastAsiaTheme="minorHAnsi"/>
          <w:sz w:val="28"/>
          <w:szCs w:val="28"/>
          <w:lang w:eastAsia="en-US"/>
        </w:rPr>
        <w:t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образования.</w:t>
      </w:r>
    </w:p>
    <w:p w:rsidR="00B14C2A" w:rsidRDefault="00576BD1">
      <w:pPr>
        <w:tabs>
          <w:tab w:val="left" w:pos="900"/>
        </w:tabs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результатам анализа соблюдения требований Порядка № 1083-п (в редакции, действовавшей в период с 21.12.2023 по 25.12.2024) установлено следующее.</w:t>
      </w:r>
    </w:p>
    <w:p w:rsidR="00B14C2A" w:rsidRDefault="00576BD1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 нарушением установленного пунктом 2 статьи 179 Бюджетного кодекса РФ и пунктом 7.4 Порядка № 1083-п срока (не позднее 01.04.2025) в соответствие с первоначальным Решением о бюджете приведены девять муниципальных программ: «Комплексное благоустройство территории Южного округа города Оренбурга» (02.04.2024), «Формирование современной городской среды на территории муниципального образования «город Оренбург» на 2018-2029 годы» (14.05.2024), «Информатизация и связь в обеспечении деятельности органов местного самоуправления муниципального образования «город Оренбург» (15.05.2024), «Строительство и дорожное хозяйство в городе Оренбурге» (16.05.2024), «Муниципальная программа энергосбережения и повышения энергетической эффективности в городе Оренбурге на 2016-2027 годы» (23.05.2024), «Охрана </w:t>
      </w:r>
      <w:r>
        <w:rPr>
          <w:rFonts w:eastAsiaTheme="minorHAnsi"/>
          <w:sz w:val="28"/>
          <w:szCs w:val="28"/>
          <w:lang w:eastAsia="en-US"/>
        </w:rPr>
        <w:lastRenderedPageBreak/>
        <w:t>окружающей среды в границах муниципального образования «город Оренбург» (31.05.2024), «Комплексное благоустройство и повышение качества жизни населения на территории Северного округа города Оренбурга» (06.06.2024), «Регулирование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 (26.06.2024),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(28.06.2024).</w:t>
      </w:r>
    </w:p>
    <w:p w:rsidR="00B14C2A" w:rsidRDefault="00576BD1">
      <w:pPr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пункту 7.3 Порядка № 1083-п постановление Администрации города Оренбурга о внесении изменений в муниципальную программу и распоряжение заместителя Главы города Оренбурга о внесении изменений в дополнительную часть муниципальной программы в части изменения объема финансирования и целевых показателей (индикаторов) отчетного финансового года подлежат утверждению не позднее 20 февраля года, следующего за отчетным. При этом объем финансирования должен соответствовать решению о бюджете на отчетный год в редакции, действующей на 31 декабря отчетного года.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всех муниципальных программ соответствуют </w:t>
      </w:r>
      <w:r>
        <w:rPr>
          <w:rFonts w:eastAsia="Calibri"/>
          <w:sz w:val="28"/>
          <w:szCs w:val="28"/>
        </w:rPr>
        <w:t>РОГС от 24.12.2024 № 562</w:t>
      </w:r>
      <w:r>
        <w:rPr>
          <w:sz w:val="28"/>
          <w:szCs w:val="28"/>
        </w:rPr>
        <w:t>. Изменения в три муниципальные программы, в части приведения их в соответствие с РОГС 24.12.2024 № 562 внесены позже 20 февраля, т.е. с нарушением требований пункта 7.3 Порядка № 1083-п: «Регулирование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 (10.03.2025),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(26.02.2025) и «Социальная поддержка жителей города Оренбурга» (05.03.2025).</w:t>
      </w:r>
    </w:p>
    <w:p w:rsidR="00B14C2A" w:rsidRDefault="00576BD1">
      <w:pPr>
        <w:pStyle w:val="af0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Отчеты о реализации муниципальных программ за 2024 год сформированы с учетом объемов финансирования, утвержденных решением о бюджете на отчетный год в редакции, действующей на 31 декабря отчетного года.</w:t>
      </w:r>
    </w:p>
    <w:p w:rsidR="00B14C2A" w:rsidRDefault="00576BD1">
      <w:pPr>
        <w:pStyle w:val="s1"/>
        <w:shd w:val="clear" w:color="auto" w:fill="FFFFFF"/>
        <w:tabs>
          <w:tab w:val="left" w:pos="1134"/>
        </w:tabs>
        <w:spacing w:beforeAutospacing="0" w:afterAutospacing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 программные назначения отдельных муниципальных программ после принятия РОГС 24.12.2024 № 562 внесены изменения Сводной бюджетной росписью на основании пункта 3 статьи 217 Бюджетного кодекса РФ и пункта 5 статьи 18 Положения о бюджетном процессе. Указанные изменения (увеличение/сокращение) влияют не только на объемы финансирования, но и на целевые показатели (индикаторы) программы.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согласно статье 215.1 Бюджетного кодекса РФ исполнение бюджета организуется на основе Сводной бюджетной росписи и кассового плана.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Порядок № 1083-п не предусматривает требований по приведению объемов финансирования муниципальных программ с показателями Сводной бюджетной росписи на отчетный год в редакции, действующей на 31 декабря отчетного года, что негативно отражается на достоверности данных, указанных в Отчетах о реализации программ. 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Отсутствие в Порядке № 1083-п норм, обязывающих привести в соответствие показатели муниципальной программы и Сводной бюджетной росписи, влечет расхождение объемов утвержденных программных назначений, отраженных в Отчетах о реализации программ и объемах бюджетных ассигнований, доведенных до главных распорядителей бюджетных средств. </w:t>
      </w:r>
    </w:p>
    <w:p w:rsidR="00B14C2A" w:rsidRDefault="00576BD1">
      <w:pPr>
        <w:pStyle w:val="af0"/>
        <w:numPr>
          <w:ilvl w:val="0"/>
          <w:numId w:val="13"/>
        </w:numPr>
        <w:tabs>
          <w:tab w:val="left" w:pos="142"/>
          <w:tab w:val="left" w:pos="1276"/>
        </w:tabs>
        <w:ind w:left="0" w:firstLine="709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Согласно уточненным Итогам оценки эффективности муниципальных программ города Оренбурга за 2024 год, комплексная оценка эффективности девяти муниципальных программ рассчитана на уровне более 90,00% и признана высокой, шести муниципальных программ на уровне от 80,00 до 89,99% и признана средней.</w:t>
      </w:r>
    </w:p>
    <w:p w:rsidR="00B14C2A" w:rsidRDefault="00576BD1">
      <w:pPr>
        <w:tabs>
          <w:tab w:val="left" w:pos="142"/>
          <w:tab w:val="left" w:pos="709"/>
          <w:tab w:val="left" w:pos="1276"/>
        </w:tabs>
        <w:ind w:left="0" w:firstLine="709"/>
        <w:contextualSpacing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Комплексная оценка эффективности десяти муниципальных программ признана удовлетворительной и неудовлетворительной, при этом эффективность достижения целевых показателей данных муниципальных программ рассчитана на уровне от 27,49% до 100,00%, а эффективность расходов на реализацию муниципальных программ составила от 0,00% до 100,00%, в том числе:</w:t>
      </w:r>
    </w:p>
    <w:p w:rsidR="00B14C2A" w:rsidRDefault="00B14C2A">
      <w:pPr>
        <w:widowControl w:val="0"/>
        <w:tabs>
          <w:tab w:val="left" w:pos="709"/>
          <w:tab w:val="left" w:pos="1276"/>
        </w:tabs>
        <w:ind w:firstLine="709"/>
        <w:jc w:val="both"/>
        <w:rPr>
          <w:bCs/>
          <w:kern w:val="2"/>
          <w:sz w:val="16"/>
          <w:szCs w:val="16"/>
        </w:rPr>
      </w:pPr>
    </w:p>
    <w:tbl>
      <w:tblPr>
        <w:tblStyle w:val="28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394"/>
        <w:gridCol w:w="2968"/>
        <w:gridCol w:w="1430"/>
        <w:gridCol w:w="2421"/>
      </w:tblGrid>
      <w:tr w:rsidR="00B14C2A">
        <w:trPr>
          <w:trHeight w:val="559"/>
        </w:trPr>
        <w:tc>
          <w:tcPr>
            <w:tcW w:w="3323" w:type="dxa"/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tabs>
                <w:tab w:val="left" w:pos="-108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Эффективность достижения целевых показателей (индикаторов) муниципальной программы, %</w:t>
            </w:r>
          </w:p>
        </w:tc>
        <w:tc>
          <w:tcPr>
            <w:tcW w:w="2906" w:type="dxa"/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tabs>
                <w:tab w:val="left" w:pos="34"/>
                <w:tab w:val="left" w:pos="1276"/>
              </w:tabs>
              <w:ind w:left="34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Эффективность расходов на реализацию муниципальной программы, %</w:t>
            </w:r>
          </w:p>
        </w:tc>
        <w:tc>
          <w:tcPr>
            <w:tcW w:w="3770" w:type="dxa"/>
            <w:gridSpan w:val="2"/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Комплексная оценка эффективности</w:t>
            </w:r>
          </w:p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муниципальной программы, %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Молодой Оренбург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89,80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60,00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79,22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sz w:val="20"/>
                <w:szCs w:val="20"/>
                <w:lang w:eastAsia="en-US"/>
              </w:rPr>
              <w:t>Повышение эффективности управления муниципальным имуществом города Оренбурга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kern w:val="2"/>
                <w:sz w:val="20"/>
                <w:szCs w:val="20"/>
                <w:lang w:eastAsia="en-US"/>
              </w:rPr>
              <w:t>Развитие муниципальной службы в Администрации города Оренбурга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kern w:val="2"/>
                <w:sz w:val="20"/>
                <w:szCs w:val="20"/>
                <w:lang w:eastAsia="en-US"/>
              </w:rPr>
              <w:t>Информатизация и связь в обеспечении деятельности органов местного самоуправления муниципального образования «город Оренбург»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99,99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Развитие пассажирского транспорта на территории города Оренбурга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27,49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71,00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Строительство и дорожное хозяйство в городе Оренбурге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99,82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20,00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67,93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неудовлетворительная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sz w:val="20"/>
                <w:szCs w:val="20"/>
                <w:lang w:eastAsia="en-US"/>
              </w:rPr>
              <w:t>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99,57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20,00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67,83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неудовлетворительная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Охрана окружающей среды в границах муниципального образования «город Оренбург»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91,82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20,00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64,73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неудовлетворительная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Формирование современной городской среды на территории муниципального образования «город Оренбург» на 2018-2029 годы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60,00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неудовлетворительная</w:t>
            </w:r>
          </w:p>
        </w:tc>
      </w:tr>
      <w:tr w:rsidR="00B14C2A">
        <w:tc>
          <w:tcPr>
            <w:tcW w:w="9999" w:type="dxa"/>
            <w:gridSpan w:val="4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</w:t>
            </w:r>
          </w:p>
        </w:tc>
      </w:tr>
      <w:tr w:rsidR="00B14C2A">
        <w:tc>
          <w:tcPr>
            <w:tcW w:w="3323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57,54</w:t>
            </w:r>
          </w:p>
        </w:tc>
        <w:tc>
          <w:tcPr>
            <w:tcW w:w="2906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140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bCs/>
                <w:kern w:val="2"/>
                <w:sz w:val="20"/>
                <w:szCs w:val="20"/>
                <w:lang w:eastAsia="en-US"/>
              </w:rPr>
              <w:t>59,02</w:t>
            </w:r>
          </w:p>
        </w:tc>
        <w:tc>
          <w:tcPr>
            <w:tcW w:w="2370" w:type="dxa"/>
          </w:tcPr>
          <w:p w:rsidR="00B14C2A" w:rsidRDefault="00576BD1">
            <w:pPr>
              <w:widowControl w:val="0"/>
              <w:tabs>
                <w:tab w:val="left" w:pos="709"/>
                <w:tab w:val="left" w:pos="1276"/>
              </w:tabs>
              <w:ind w:left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sz w:val="20"/>
                <w:szCs w:val="20"/>
                <w:lang w:eastAsia="en-US"/>
              </w:rPr>
              <w:t>неудовлетворительная</w:t>
            </w:r>
          </w:p>
        </w:tc>
      </w:tr>
    </w:tbl>
    <w:p w:rsidR="00B14C2A" w:rsidRDefault="00B14C2A">
      <w:pPr>
        <w:pStyle w:val="af0"/>
        <w:widowControl w:val="0"/>
        <w:tabs>
          <w:tab w:val="left" w:pos="1134"/>
        </w:tabs>
        <w:ind w:left="709" w:firstLine="0"/>
        <w:rPr>
          <w:bCs/>
          <w:kern w:val="2"/>
          <w:sz w:val="16"/>
          <w:szCs w:val="28"/>
        </w:rPr>
      </w:pPr>
    </w:p>
    <w:p w:rsidR="00B14C2A" w:rsidRDefault="00576BD1">
      <w:pPr>
        <w:pStyle w:val="af0"/>
        <w:widowControl w:val="0"/>
        <w:numPr>
          <w:ilvl w:val="0"/>
          <w:numId w:val="13"/>
        </w:numPr>
        <w:tabs>
          <w:tab w:val="left" w:pos="0"/>
          <w:tab w:val="left" w:pos="1276"/>
        </w:tabs>
        <w:ind w:left="0" w:firstLine="709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Порядком № 1083-п или другим нормативно-правовым актом Администрации города Оренбурга не утверждены требования по содержанию сводного годового доклада о ходе реализации в 2024 году муниципальных программ города Оренбурга. Установление Администрацией города Оренбурга требований к содержанию указанного доклада положительно скажется на его информативности.</w:t>
      </w:r>
    </w:p>
    <w:p w:rsidR="00B14C2A" w:rsidRDefault="00576BD1">
      <w:pPr>
        <w:pStyle w:val="af0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Отдельные целевые показатели (индикаторы) </w:t>
      </w:r>
      <w:r>
        <w:rPr>
          <w:rFonts w:ascii="Times New Roman" w:hAnsi="Times New Roman" w:cs="Times New Roman"/>
          <w:sz w:val="28"/>
          <w:szCs w:val="28"/>
        </w:rPr>
        <w:t xml:space="preserve">действующих муниципальных программ измеряются в относительном выражении (доля, уровень, темп роста (сокращения) и т.д.), с установленной единицей измерения «процент». 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Ответственными исполнителями на основании Порядка № 1083-п произведен расчет уровня достижения целевых показателей (индикаторов) муниципальных программ путем деления фактически достигнутого значения в отчетном периоде на плановое значение показателя (</w:t>
      </w:r>
      <w:r>
        <w:rPr>
          <w:sz w:val="28"/>
        </w:rPr>
        <w:t>для результатов, желательной тенденцией развития которых является увеличение значений)</w:t>
      </w:r>
      <w:r>
        <w:rPr>
          <w:sz w:val="28"/>
          <w:szCs w:val="28"/>
        </w:rPr>
        <w:t xml:space="preserve"> или деления планового значения показателя на фактически достигнутое значение в отчетном периоде (</w:t>
      </w:r>
      <w:r>
        <w:rPr>
          <w:sz w:val="28"/>
        </w:rPr>
        <w:t>для результатов, желательной тенденцией развития которых является снижение значений)</w:t>
      </w:r>
      <w:r>
        <w:rPr>
          <w:sz w:val="28"/>
          <w:szCs w:val="28"/>
        </w:rPr>
        <w:t>.</w:t>
      </w:r>
    </w:p>
    <w:p w:rsidR="00B14C2A" w:rsidRDefault="00576BD1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арифметические действия в виде деления одного относительного показателя на другой некорректны, так как </w:t>
      </w:r>
      <w:r>
        <w:rPr>
          <w:bCs/>
          <w:sz w:val="28"/>
          <w:szCs w:val="28"/>
        </w:rPr>
        <w:t>относительная величина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(показатель)</w:t>
      </w:r>
      <w:r>
        <w:rPr>
          <w:sz w:val="28"/>
          <w:szCs w:val="28"/>
        </w:rPr>
        <w:t xml:space="preserve"> уже представляет собой </w:t>
      </w:r>
      <w:r>
        <w:rPr>
          <w:bCs/>
          <w:sz w:val="28"/>
          <w:szCs w:val="28"/>
        </w:rPr>
        <w:t xml:space="preserve">результат сопоставления (деления) одного </w:t>
      </w:r>
      <w:r>
        <w:rPr>
          <w:sz w:val="28"/>
          <w:szCs w:val="28"/>
        </w:rPr>
        <w:t>абсолютного</w:t>
      </w:r>
      <w:r>
        <w:rPr>
          <w:bCs/>
          <w:sz w:val="28"/>
          <w:szCs w:val="28"/>
        </w:rPr>
        <w:t xml:space="preserve"> показателя на другой</w:t>
      </w:r>
      <w:r>
        <w:rPr>
          <w:sz w:val="28"/>
          <w:szCs w:val="28"/>
        </w:rPr>
        <w:t xml:space="preserve"> и выражает соотношение между количественными характеристиками социально-экономических процессов и явлений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Произведенные ответственными исполнителями расчеты привели к некорректному отражению уровня достижения целевых показателей (индикаторов) муниципальных программ.</w:t>
      </w:r>
    </w:p>
    <w:p w:rsidR="00B14C2A" w:rsidRDefault="00576BD1">
      <w:pPr>
        <w:pStyle w:val="af0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внесении изменений в муниципальные программы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и «Повышение эффективности управления муниципальным имуществом города Оренбурга» в 2025 году (в части приведения муниципальных программ в соответствие с РОГС от 24.12.2024 № 562) их показатели скорректированы под фактическое исполнение, после отчетной даты, на которую они формируются.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sub_101"/>
      <w:r>
        <w:rPr>
          <w:rFonts w:eastAsiaTheme="minorHAnsi"/>
          <w:sz w:val="28"/>
          <w:szCs w:val="28"/>
          <w:lang w:eastAsia="en-US"/>
        </w:rPr>
        <w:t>По мнению Счетной палаты установление в Порядке № 1083-п нормы о внесении в муниципальные программы изменений в текущем финансовом году до конца текущего года будет способствовать отражению в муниципальных программах и отчетах об их реализации реальных плановых значений и позволит более детально охарактеризовать деятельность ответственного исполнителя и соисполнителей по исполнению мероприятий муниципальных программ.</w:t>
      </w:r>
      <w:bookmarkEnd w:id="3"/>
    </w:p>
    <w:p w:rsidR="00B14C2A" w:rsidRDefault="00576BD1">
      <w:pPr>
        <w:ind w:left="0" w:firstLine="708"/>
        <w:jc w:val="both"/>
        <w:rPr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15.2.</w:t>
      </w:r>
      <w:r>
        <w:rPr>
          <w:sz w:val="28"/>
          <w:szCs w:val="28"/>
          <w:lang w:eastAsia="en-US"/>
        </w:rPr>
        <w:t xml:space="preserve"> Кассовое исполнение бюджетных ассигнований в 2024 году составило </w:t>
      </w:r>
      <w:r>
        <w:rPr>
          <w:sz w:val="28"/>
          <w:szCs w:val="28"/>
        </w:rPr>
        <w:t>27 579 802,7</w:t>
      </w:r>
      <w:r>
        <w:rPr>
          <w:sz w:val="28"/>
          <w:szCs w:val="28"/>
          <w:lang w:eastAsia="en-US"/>
        </w:rPr>
        <w:t xml:space="preserve"> тыс. рублей.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кассового исполнения бюджетных ассигнований, утвержденных СБР на реализацию муниципальных программ (28 563 147,3 тыс. рублей),</w:t>
      </w:r>
      <w:r>
        <w:t xml:space="preserve"> </w:t>
      </w:r>
      <w:r>
        <w:rPr>
          <w:sz w:val="28"/>
          <w:szCs w:val="28"/>
        </w:rPr>
        <w:t>составил 96,6% и от доведенных до исполнителей муниципальных программ лимитов бюджетных обязательств (28 520 493,2 тыс. рублей) составил 96,7%. Объем неисполненных бюджетных ассигнований составил 983 344,6 тыс. рублей, доведенных лимитов бюджетных обязательств – 940 690,5 тыс. рублей.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сравнению с показателями реализации муниципальных программ прошлого года в отчетном году:</w:t>
      </w:r>
    </w:p>
    <w:p w:rsidR="00B14C2A" w:rsidRDefault="00576BD1">
      <w:pPr>
        <w:pStyle w:val="af0"/>
        <w:widowControl w:val="0"/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утвержденных бюджетных ассигнований на реализацию муниципальных программ увеличился на 4 162 801,9 тыс. рублей или на 17,1% (в 2023 году – 24 400 345,4 тыс. рублей).</w:t>
      </w:r>
    </w:p>
    <w:p w:rsidR="00B14C2A" w:rsidRDefault="00576BD1">
      <w:pPr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доведенных лимитов бюджетных обязательств на реализацию муниципальных программ увеличился на 4 128 850,6 тыс. рублей или на 16,9% (в 2023 году – 24 391 642,6 тыс. рублей).</w:t>
      </w:r>
    </w:p>
    <w:p w:rsidR="00B14C2A" w:rsidRDefault="00576BD1">
      <w:pPr>
        <w:widowControl w:val="0"/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кассовых расходов на реализацию муниципальных программ </w:t>
      </w:r>
      <w:r>
        <w:rPr>
          <w:sz w:val="28"/>
          <w:szCs w:val="28"/>
        </w:rPr>
        <w:lastRenderedPageBreak/>
        <w:t xml:space="preserve">увеличился на 4 083 056,9 тыс. рублей или на 17,4% (в 2023 году – 23 496 745,8 тыс. рублей). </w:t>
      </w:r>
    </w:p>
    <w:p w:rsidR="00B14C2A" w:rsidRDefault="00576BD1">
      <w:pPr>
        <w:widowControl w:val="0"/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«Укрепление общественного здоровья на территории муниципального образования «город Оренбург», утвержденной постановлением Администрации города Оренбурга от 16.11.2020 № 1821-п, в 2024 году не предусмотрено.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сводному годовому докладу о ходе реализации и об оценке эффективности муниципальных программ города Оренбурга за 2024 год на реализацию муниципальной программы «Укрепление общественного здоровья на территории муниципального образования «город Оренбург» в бюджете города средства не предусмотрены, программные мероприятия выполнялись в рамках текущей деятельности исполнителей. Счетная палата обращает внимание на то, что финансирование за счет одной муниципальной программы мероприятий других муниципальных программ может привести к нарушению принципа адресности и целевого характера</w:t>
      </w:r>
      <w:r>
        <w:t xml:space="preserve"> </w:t>
      </w:r>
      <w:r>
        <w:rPr>
          <w:sz w:val="28"/>
          <w:szCs w:val="28"/>
        </w:rPr>
        <w:t>бюджетных средств, установленному статьей 38 Бюджетного Кодекса РФ.</w:t>
      </w:r>
    </w:p>
    <w:p w:rsidR="00B14C2A" w:rsidRDefault="00576BD1">
      <w:pPr>
        <w:ind w:left="0" w:firstLine="720"/>
        <w:contextualSpacing/>
        <w:jc w:val="both"/>
        <w:rPr>
          <w:sz w:val="28"/>
          <w:szCs w:val="28"/>
        </w:rPr>
      </w:pPr>
      <w:r>
        <w:rPr>
          <w:rFonts w:eastAsia="Calibri"/>
          <w:b/>
          <w:sz w:val="28"/>
          <w:lang w:eastAsia="en-US"/>
        </w:rPr>
        <w:t>15.3.</w:t>
      </w:r>
      <w:r>
        <w:rPr>
          <w:rFonts w:eastAsia="Calibri"/>
          <w:sz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соответствии с пунктом 1.9 Порядка № 1083-п муниципальная программа разрабатывается сроком от 3 до 12 лет по приоритетным направлениям развития города, определенным Стратегией социально-экономического развития города Оренбурга, с учетом правовых актов Российской Федерации, Оренбургской области в соответствующей сфере деятельности.</w:t>
      </w:r>
    </w:p>
    <w:p w:rsidR="00B14C2A" w:rsidRDefault="00576BD1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Стратегия социально-экономического развития города Оренбурга до 2030 года утверждена решением Оренбургского городского Совета от 06.09.2011 № 232.</w:t>
      </w:r>
    </w:p>
    <w:p w:rsidR="00B14C2A" w:rsidRDefault="00576BD1">
      <w:pPr>
        <w:widowControl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 мероприятий по реализации Стратегии социально-экономического развития города Оренбурга до 2030 года (далее - План мероприятий по реализации Стратегии) утвержден распоряжением Администрации города Оренбурга от 17.12.2018 № 93-р (в редакции от 19.03.2021 № 17-р).</w:t>
      </w:r>
    </w:p>
    <w:p w:rsidR="00B14C2A" w:rsidRDefault="00576BD1">
      <w:pPr>
        <w:widowControl w:val="0"/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текстовой части принятого Плана мероприятий по реализации Стратегии основным механизмом его реализации являются муниципальные программы. Цели, задачи и мероприятия программ согласуются с целями и задачами стратегического развития, а индикативные показатели конкретизируются в целевых показателях реализации программ.</w:t>
      </w: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Принятый План мероприятий по реализации Стратегии предусматривает мероприятия 19 муниципальных программ, по четырем стратегическим приоритетным направлениям «Развитие человеческого потенциала», «Развитие экономики города», «Развитие городской среды» и «Повышение эффективности и результативности деятельности органов местного самоуправления».</w:t>
      </w: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Шесть муниципальных программ не нашли свое отражение в Плане мероприятий по реализации Стратегии.</w:t>
      </w:r>
    </w:p>
    <w:p w:rsidR="00B14C2A" w:rsidRPr="00172F43" w:rsidRDefault="00576BD1">
      <w:p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расходах бюджета по приоритетным стратегическим направлениям социально-экономического развития города Оренбурга в разрезе муниципальных программ представлены в следующей таблице.</w:t>
      </w:r>
    </w:p>
    <w:p w:rsidR="00B14C2A" w:rsidRPr="00172F43" w:rsidRDefault="00B14C2A">
      <w:pPr>
        <w:spacing w:after="120"/>
        <w:ind w:left="0" w:firstLine="709"/>
        <w:jc w:val="both"/>
        <w:rPr>
          <w:sz w:val="28"/>
          <w:szCs w:val="28"/>
        </w:rPr>
      </w:pPr>
    </w:p>
    <w:p w:rsidR="00B14C2A" w:rsidRPr="00172F43" w:rsidRDefault="00B14C2A">
      <w:pPr>
        <w:spacing w:after="120"/>
        <w:ind w:left="0" w:firstLine="709"/>
        <w:jc w:val="both"/>
        <w:rPr>
          <w:sz w:val="28"/>
          <w:szCs w:val="28"/>
        </w:rPr>
      </w:pPr>
    </w:p>
    <w:p w:rsidR="00B14C2A" w:rsidRDefault="00576BD1">
      <w:pPr>
        <w:ind w:left="0"/>
        <w:jc w:val="right"/>
        <w:rPr>
          <w:sz w:val="20"/>
        </w:rPr>
      </w:pPr>
      <w:r>
        <w:rPr>
          <w:sz w:val="20"/>
        </w:rPr>
        <w:lastRenderedPageBreak/>
        <w:t>(тыс. рублей)</w:t>
      </w:r>
    </w:p>
    <w:tbl>
      <w:tblPr>
        <w:tblStyle w:val="28"/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757"/>
        <w:gridCol w:w="1266"/>
        <w:gridCol w:w="1135"/>
        <w:gridCol w:w="950"/>
      </w:tblGrid>
      <w:tr w:rsidR="00B14C2A">
        <w:trPr>
          <w:trHeight w:val="70"/>
        </w:trPr>
        <w:tc>
          <w:tcPr>
            <w:tcW w:w="6616" w:type="dxa"/>
            <w:vMerge w:val="restart"/>
            <w:shd w:val="clear" w:color="auto" w:fill="D9E2F3" w:themeFill="accent1" w:themeFillTint="33"/>
            <w:vAlign w:val="center"/>
          </w:tcPr>
          <w:p w:rsidR="00B14C2A" w:rsidRDefault="00576BD1">
            <w:pPr>
              <w:ind w:left="0"/>
              <w:jc w:val="center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1240" w:type="dxa"/>
            <w:vMerge w:val="restart"/>
            <w:shd w:val="clear" w:color="auto" w:fill="D9E2F3" w:themeFill="accent1" w:themeFillTint="33"/>
            <w:vAlign w:val="center"/>
          </w:tcPr>
          <w:p w:rsidR="00B14C2A" w:rsidRDefault="00576BD1">
            <w:pPr>
              <w:ind w:left="0"/>
              <w:jc w:val="center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Утверждено на 31.12.2024</w:t>
            </w:r>
          </w:p>
        </w:tc>
        <w:tc>
          <w:tcPr>
            <w:tcW w:w="2041" w:type="dxa"/>
            <w:gridSpan w:val="2"/>
            <w:shd w:val="clear" w:color="auto" w:fill="D9E2F3" w:themeFill="accent1" w:themeFillTint="33"/>
            <w:vAlign w:val="center"/>
          </w:tcPr>
          <w:p w:rsidR="00B14C2A" w:rsidRDefault="00576BD1">
            <w:pPr>
              <w:ind w:left="0"/>
              <w:jc w:val="center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Исполнено в 2024 году</w:t>
            </w:r>
          </w:p>
        </w:tc>
      </w:tr>
      <w:tr w:rsidR="00B14C2A">
        <w:trPr>
          <w:trHeight w:val="56"/>
        </w:trPr>
        <w:tc>
          <w:tcPr>
            <w:tcW w:w="6616" w:type="dxa"/>
            <w:vMerge/>
            <w:shd w:val="clear" w:color="auto" w:fill="D9E2F3" w:themeFill="accent1" w:themeFillTint="33"/>
            <w:vAlign w:val="center"/>
          </w:tcPr>
          <w:p w:rsidR="00B14C2A" w:rsidRDefault="00B14C2A">
            <w:pPr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40" w:type="dxa"/>
            <w:vMerge/>
            <w:shd w:val="clear" w:color="auto" w:fill="D9E2F3" w:themeFill="accent1" w:themeFillTint="33"/>
            <w:vAlign w:val="center"/>
          </w:tcPr>
          <w:p w:rsidR="00B14C2A" w:rsidRDefault="00B14C2A">
            <w:pPr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D9E2F3" w:themeFill="accent1" w:themeFillTint="33"/>
            <w:vAlign w:val="center"/>
          </w:tcPr>
          <w:p w:rsidR="00B14C2A" w:rsidRDefault="00576BD1">
            <w:pPr>
              <w:ind w:left="0"/>
              <w:jc w:val="center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сумма</w:t>
            </w:r>
          </w:p>
        </w:tc>
        <w:tc>
          <w:tcPr>
            <w:tcW w:w="930" w:type="dxa"/>
            <w:shd w:val="clear" w:color="auto" w:fill="D9E2F3" w:themeFill="accent1" w:themeFillTint="33"/>
            <w:vAlign w:val="center"/>
          </w:tcPr>
          <w:p w:rsidR="00B14C2A" w:rsidRDefault="00576BD1">
            <w:pPr>
              <w:ind w:left="0"/>
              <w:jc w:val="center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%</w:t>
            </w:r>
          </w:p>
        </w:tc>
      </w:tr>
      <w:tr w:rsidR="00B14C2A">
        <w:trPr>
          <w:trHeight w:val="72"/>
        </w:trPr>
        <w:tc>
          <w:tcPr>
            <w:tcW w:w="9897" w:type="dxa"/>
            <w:gridSpan w:val="4"/>
          </w:tcPr>
          <w:p w:rsidR="00B14C2A" w:rsidRDefault="00576BD1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Приоритетное направление «Развитие человеческого потенциала»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Доступное образование в городе Оренбурге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12 652 731,3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12 375 703,9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97,8</w:t>
            </w:r>
          </w:p>
        </w:tc>
      </w:tr>
      <w:tr w:rsidR="00B14C2A">
        <w:trPr>
          <w:trHeight w:val="7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Развитие культуры и искусства в муниципальном образовании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973 721,4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949 337,5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97,5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Молодой Оренбург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32 406,0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30 926,4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95,4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Социальная поддержка жителей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147 888,1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146 256,2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98,9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Спортивный Оренбург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378 516,4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358 064,7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94,6</w:t>
            </w:r>
          </w:p>
        </w:tc>
      </w:tr>
      <w:tr w:rsidR="00B14C2A">
        <w:trPr>
          <w:trHeight w:val="14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Охрана окружающей среды в границах муниципального образования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16 748,7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6 863,2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41,0</w:t>
            </w:r>
          </w:p>
        </w:tc>
      </w:tr>
      <w:tr w:rsidR="00B14C2A">
        <w:trPr>
          <w:trHeight w:val="144"/>
        </w:trPr>
        <w:tc>
          <w:tcPr>
            <w:tcW w:w="6616" w:type="dxa"/>
          </w:tcPr>
          <w:p w:rsidR="00B14C2A" w:rsidRDefault="00576BD1">
            <w:pPr>
              <w:ind w:left="0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Итого по направлению: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14 202 011,9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13 867 151,9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97,6</w:t>
            </w:r>
          </w:p>
        </w:tc>
      </w:tr>
      <w:tr w:rsidR="00B14C2A">
        <w:trPr>
          <w:trHeight w:val="44"/>
        </w:trPr>
        <w:tc>
          <w:tcPr>
            <w:tcW w:w="9897" w:type="dxa"/>
            <w:gridSpan w:val="4"/>
          </w:tcPr>
          <w:p w:rsidR="00B14C2A" w:rsidRDefault="00576BD1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Приоритетное направление «Развитие экономики города»</w:t>
            </w:r>
          </w:p>
        </w:tc>
      </w:tr>
      <w:tr w:rsidR="00B14C2A">
        <w:trPr>
          <w:trHeight w:val="19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Повышение эффективности управления муниципальным имуществом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55 771,0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49 675,2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89,1</w:t>
            </w:r>
          </w:p>
        </w:tc>
      </w:tr>
      <w:tr w:rsidR="00B14C2A">
        <w:trPr>
          <w:trHeight w:val="240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Развитие малого и среднего предпринимательства, сельского хозяйства и рынков сельскохозяйственной продукции, сырья и продовольствия, сферы размещения наружной рекламы и объектов наружной информации в муниципальном образовании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54 962,4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53 782,1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97,9</w:t>
            </w:r>
          </w:p>
        </w:tc>
      </w:tr>
      <w:tr w:rsidR="00B14C2A">
        <w:trPr>
          <w:trHeight w:val="108"/>
        </w:trPr>
        <w:tc>
          <w:tcPr>
            <w:tcW w:w="6616" w:type="dxa"/>
          </w:tcPr>
          <w:p w:rsidR="00B14C2A" w:rsidRDefault="00576BD1">
            <w:pPr>
              <w:ind w:left="0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Итого по направлению: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110 733,4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103 457,3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93,4</w:t>
            </w:r>
          </w:p>
        </w:tc>
      </w:tr>
      <w:tr w:rsidR="00B14C2A">
        <w:trPr>
          <w:trHeight w:val="181"/>
        </w:trPr>
        <w:tc>
          <w:tcPr>
            <w:tcW w:w="9897" w:type="dxa"/>
            <w:gridSpan w:val="4"/>
          </w:tcPr>
          <w:p w:rsidR="00B14C2A" w:rsidRDefault="00576BD1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Приоритетное направление «Развитие городской среды»</w:t>
            </w:r>
          </w:p>
        </w:tc>
      </w:tr>
      <w:tr w:rsidR="00B14C2A">
        <w:trPr>
          <w:trHeight w:val="270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Формирование современной городской среды на территории муниципального образования «город Оренбург» на 2018-2029 годы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2 462 083,7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2 333 821,7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94,8</w:t>
            </w:r>
          </w:p>
        </w:tc>
      </w:tr>
      <w:tr w:rsidR="00B14C2A">
        <w:trPr>
          <w:trHeight w:val="601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241 120,2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236 452,0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98,1</w:t>
            </w:r>
          </w:p>
        </w:tc>
      </w:tr>
      <w:tr w:rsidR="00B14C2A">
        <w:trPr>
          <w:trHeight w:val="269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1 969 235,9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1 885 330,3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95,7</w:t>
            </w:r>
          </w:p>
        </w:tc>
      </w:tr>
      <w:tr w:rsidR="00B14C2A">
        <w:trPr>
          <w:trHeight w:val="317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Переселение граждан муниципального образования «город Оренбург» из жилых домов, признанных аварийными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361 691,9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361 686,7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99,99</w:t>
            </w:r>
          </w:p>
        </w:tc>
      </w:tr>
      <w:tr w:rsidR="00B14C2A">
        <w:trPr>
          <w:trHeight w:val="365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Комплексное благоустройство и повышение качества жизни населения на территории Северного округа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476 540,0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455 208,9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95,5</w:t>
            </w:r>
          </w:p>
        </w:tc>
      </w:tr>
      <w:tr w:rsidR="00B14C2A">
        <w:trPr>
          <w:trHeight w:val="143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Комплексное благоустройство территории Южного округа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642 104,3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606 900,6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94,5</w:t>
            </w:r>
          </w:p>
        </w:tc>
      </w:tr>
      <w:tr w:rsidR="00B14C2A">
        <w:trPr>
          <w:trHeight w:val="76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Развитие пассажирского транспорта на территории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944 576,9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883 811,5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93,6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Строительство и дорожное хозяйство в городе Оренбурге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6 329 512,8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6 038 352,4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95,4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ind w:left="0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Итого по направлению: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13 426 865,7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12 801 564,1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95,3</w:t>
            </w:r>
          </w:p>
        </w:tc>
      </w:tr>
      <w:tr w:rsidR="00B14C2A">
        <w:trPr>
          <w:trHeight w:val="70"/>
        </w:trPr>
        <w:tc>
          <w:tcPr>
            <w:tcW w:w="9897" w:type="dxa"/>
            <w:gridSpan w:val="4"/>
          </w:tcPr>
          <w:p w:rsidR="00B14C2A" w:rsidRDefault="00576BD1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Приоритетное направление «Повышение эффективности и результативности деятельности органов местного самоуправления»</w:t>
            </w:r>
          </w:p>
        </w:tc>
      </w:tr>
      <w:tr w:rsidR="00B14C2A">
        <w:trPr>
          <w:trHeight w:val="402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Обеспечение деятельности Администрации города Оренбурга по решению вопросов местного значения и исполнению отдельных государственных полномочий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478 159,9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470 501,5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98,4</w:t>
            </w:r>
          </w:p>
        </w:tc>
      </w:tr>
      <w:tr w:rsidR="00B14C2A">
        <w:trPr>
          <w:trHeight w:val="12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Управление муниципальными финансами и муниципальным долгом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136 855,0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135 311,5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98,9</w:t>
            </w:r>
          </w:p>
        </w:tc>
      </w:tr>
      <w:tr w:rsidR="00B14C2A">
        <w:trPr>
          <w:trHeight w:val="212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Информатизация и связь в обеспечении деятельности органов местного самоуправления муниципального образования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35 894,4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33 445,5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93,2</w:t>
            </w:r>
          </w:p>
        </w:tc>
      </w:tr>
      <w:tr w:rsidR="00B14C2A">
        <w:trPr>
          <w:trHeight w:val="64"/>
        </w:trPr>
        <w:tc>
          <w:tcPr>
            <w:tcW w:w="6616" w:type="dxa"/>
          </w:tcPr>
          <w:p w:rsidR="00B14C2A" w:rsidRDefault="00576BD1">
            <w:pPr>
              <w:tabs>
                <w:tab w:val="left" w:pos="5610"/>
              </w:tabs>
              <w:ind w:left="0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Итого по направлению: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650 909,3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639 258,5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98,2</w:t>
            </w:r>
          </w:p>
        </w:tc>
      </w:tr>
      <w:tr w:rsidR="00B14C2A">
        <w:trPr>
          <w:trHeight w:val="64"/>
        </w:trPr>
        <w:tc>
          <w:tcPr>
            <w:tcW w:w="9897" w:type="dxa"/>
            <w:gridSpan w:val="4"/>
          </w:tcPr>
          <w:p w:rsidR="00B14C2A" w:rsidRDefault="00576BD1">
            <w:pPr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Не отнесены к стратегическим направлениям социально-экономического развития города Оренбурга</w:t>
            </w:r>
          </w:p>
        </w:tc>
      </w:tr>
      <w:tr w:rsidR="00B14C2A">
        <w:trPr>
          <w:trHeight w:val="490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в муниципальном образовании «город Оренбург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85 715,9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84 243,4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98,3</w:t>
            </w:r>
          </w:p>
        </w:tc>
      </w:tr>
      <w:tr w:rsidR="00B14C2A">
        <w:trPr>
          <w:trHeight w:val="21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Профилактика правонарушений в муниципальном образовании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9 949,2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9 699,4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97,5</w:t>
            </w:r>
          </w:p>
        </w:tc>
      </w:tr>
      <w:tr w:rsidR="00B14C2A">
        <w:trPr>
          <w:trHeight w:val="260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Профилактика терроризма и экстремизма на территории муниципального образования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57 269,8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57 246,6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99,99</w:t>
            </w:r>
          </w:p>
        </w:tc>
      </w:tr>
      <w:tr w:rsidR="00B14C2A">
        <w:trPr>
          <w:trHeight w:val="188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Муниципальная программа энергосбережения и повышения энергетической эффективности в городе Оренбурге на 2016-2027 годы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16 323,9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14 524,1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89,0</w:t>
            </w:r>
          </w:p>
        </w:tc>
      </w:tr>
      <w:tr w:rsidR="00B14C2A">
        <w:trPr>
          <w:trHeight w:val="134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Развитие муниципальной службы в Администрации города Оренбурга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847,1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644,1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76,0</w:t>
            </w:r>
          </w:p>
        </w:tc>
      </w:tr>
      <w:tr w:rsidR="00B14C2A">
        <w:trPr>
          <w:trHeight w:val="80"/>
        </w:trPr>
        <w:tc>
          <w:tcPr>
            <w:tcW w:w="6616" w:type="dxa"/>
          </w:tcPr>
          <w:p w:rsidR="00B14C2A" w:rsidRDefault="00576BD1">
            <w:pPr>
              <w:ind w:left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Профилактика наркомании на территории муниципального образования «город Оренбург»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2 521,1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color w:val="000000"/>
                <w:sz w:val="16"/>
                <w:szCs w:val="16"/>
              </w:rPr>
              <w:t>2 013,3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Cs/>
                <w:sz w:val="16"/>
                <w:szCs w:val="16"/>
              </w:rPr>
            </w:pPr>
            <w:r>
              <w:rPr>
                <w:rFonts w:eastAsia="SimSun"/>
                <w:bCs/>
                <w:color w:val="000000"/>
                <w:sz w:val="16"/>
                <w:szCs w:val="16"/>
              </w:rPr>
              <w:t>79,9</w:t>
            </w:r>
          </w:p>
        </w:tc>
      </w:tr>
      <w:tr w:rsidR="00B14C2A">
        <w:trPr>
          <w:trHeight w:val="64"/>
        </w:trPr>
        <w:tc>
          <w:tcPr>
            <w:tcW w:w="6616" w:type="dxa"/>
            <w:shd w:val="clear" w:color="auto" w:fill="auto"/>
          </w:tcPr>
          <w:p w:rsidR="00B14C2A" w:rsidRDefault="00576BD1">
            <w:pPr>
              <w:ind w:left="0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Итого по направлению: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172 627,0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168 370,9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</w:rPr>
              <w:t>97,5</w:t>
            </w:r>
          </w:p>
        </w:tc>
      </w:tr>
      <w:tr w:rsidR="00B14C2A">
        <w:trPr>
          <w:trHeight w:val="114"/>
        </w:trPr>
        <w:tc>
          <w:tcPr>
            <w:tcW w:w="6616" w:type="dxa"/>
            <w:shd w:val="clear" w:color="auto" w:fill="D9E2F3" w:themeFill="accent1" w:themeFillTint="33"/>
          </w:tcPr>
          <w:p w:rsidR="00B14C2A" w:rsidRDefault="00576BD1">
            <w:pPr>
              <w:ind w:left="0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Всего по муниципальным программам</w:t>
            </w:r>
          </w:p>
        </w:tc>
        <w:tc>
          <w:tcPr>
            <w:tcW w:w="1240" w:type="dxa"/>
            <w:shd w:val="clear" w:color="auto" w:fill="D9E2F3" w:themeFill="accent1" w:themeFillTint="33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28 563 147,3</w:t>
            </w:r>
          </w:p>
        </w:tc>
        <w:tc>
          <w:tcPr>
            <w:tcW w:w="1111" w:type="dxa"/>
            <w:shd w:val="clear" w:color="auto" w:fill="D9E2F3" w:themeFill="accent1" w:themeFillTint="33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27 579 802,7</w:t>
            </w:r>
          </w:p>
        </w:tc>
        <w:tc>
          <w:tcPr>
            <w:tcW w:w="930" w:type="dxa"/>
            <w:shd w:val="clear" w:color="auto" w:fill="D9E2F3" w:themeFill="accent1" w:themeFillTint="33"/>
          </w:tcPr>
          <w:p w:rsidR="00B14C2A" w:rsidRDefault="00576BD1">
            <w:pPr>
              <w:ind w:left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rFonts w:eastAsia="SimSun"/>
                <w:b/>
                <w:bCs/>
                <w:sz w:val="16"/>
                <w:szCs w:val="16"/>
              </w:rPr>
              <w:t>96,6</w:t>
            </w:r>
          </w:p>
        </w:tc>
      </w:tr>
    </w:tbl>
    <w:p w:rsidR="00B14C2A" w:rsidRDefault="00B14C2A">
      <w:pPr>
        <w:ind w:left="0" w:firstLine="709"/>
        <w:jc w:val="both"/>
        <w:rPr>
          <w:sz w:val="16"/>
          <w:szCs w:val="16"/>
        </w:rPr>
      </w:pPr>
    </w:p>
    <w:p w:rsidR="00B14C2A" w:rsidRDefault="00576BD1">
      <w:pPr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15.4. </w:t>
      </w:r>
      <w:r>
        <w:rPr>
          <w:sz w:val="28"/>
          <w:szCs w:val="28"/>
        </w:rPr>
        <w:t xml:space="preserve">Кассовое исполнение 15-ти муниципальных программ сложилось на уровне выше установленного Финансовым управлением </w:t>
      </w:r>
      <w:r>
        <w:rPr>
          <w:sz w:val="28"/>
          <w:szCs w:val="28"/>
          <w:lang w:eastAsia="en-US"/>
        </w:rPr>
        <w:t>установленного планового процента (95,0%)</w:t>
      </w:r>
      <w:r>
        <w:rPr>
          <w:sz w:val="28"/>
          <w:szCs w:val="28"/>
        </w:rPr>
        <w:t>. Расходы по десяти муниципальным программам исполнены на уровне от 41,0% до 94,8%.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Самое низкое кассовое исполнение на уровне 41,0% сложилось по муниципальной программе «Охрана окружающей среды в границах муниципального образования «город Оренбург». В ходе анализа произведенных расходов установлено, что значительное отклонение от плановых показателей исполнения программы связано с исполнением на низком уровне </w:t>
      </w:r>
      <w:r>
        <w:rPr>
          <w:bCs/>
          <w:iCs/>
          <w:sz w:val="28"/>
          <w:szCs w:val="28"/>
        </w:rPr>
        <w:t>(48,6%) программных назначений, утвержденных на комплекс процессных мероприятий «</w:t>
      </w:r>
      <w:bookmarkStart w:id="4" w:name="_Hlk195777158"/>
      <w:r>
        <w:rPr>
          <w:sz w:val="28"/>
          <w:szCs w:val="28"/>
        </w:rPr>
        <w:t>Мероприятия, направленные на повышение экологической культуры среди населения</w:t>
      </w:r>
      <w:bookmarkEnd w:id="4"/>
      <w:r>
        <w:rPr>
          <w:bCs/>
          <w:iCs/>
          <w:sz w:val="28"/>
          <w:szCs w:val="28"/>
        </w:rPr>
        <w:t>» и «</w:t>
      </w:r>
      <w:r>
        <w:rPr>
          <w:sz w:val="28"/>
          <w:szCs w:val="28"/>
        </w:rPr>
        <w:t xml:space="preserve">Проведение мероприятий по снижению экологического вреда </w:t>
      </w:r>
      <w:r>
        <w:rPr>
          <w:sz w:val="28"/>
          <w:szCs w:val="28"/>
        </w:rPr>
        <w:lastRenderedPageBreak/>
        <w:t>окружающей среде</w:t>
      </w:r>
      <w:r>
        <w:rPr>
          <w:bCs/>
          <w:iCs/>
          <w:sz w:val="28"/>
          <w:szCs w:val="28"/>
        </w:rPr>
        <w:t>».</w:t>
      </w:r>
    </w:p>
    <w:p w:rsidR="00B14C2A" w:rsidRDefault="00576BD1">
      <w:pPr>
        <w:ind w:left="0"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15.5.</w:t>
      </w:r>
      <w:r>
        <w:rPr>
          <w:rFonts w:eastAsia="Calibri"/>
          <w:sz w:val="28"/>
          <w:szCs w:val="28"/>
          <w:lang w:eastAsia="en-US"/>
        </w:rPr>
        <w:t xml:space="preserve"> По результатам </w:t>
      </w:r>
      <w:r>
        <w:rPr>
          <w:sz w:val="28"/>
          <w:szCs w:val="28"/>
        </w:rPr>
        <w:t xml:space="preserve">выборочного анализа произведенных кассовых расходов на реализацию муниципальных программ </w:t>
      </w:r>
      <w:r>
        <w:rPr>
          <w:rFonts w:eastAsia="Calibri"/>
          <w:sz w:val="28"/>
          <w:szCs w:val="28"/>
          <w:lang w:eastAsia="en-US"/>
        </w:rPr>
        <w:t xml:space="preserve">и мониторинга </w:t>
      </w:r>
      <w:r>
        <w:rPr>
          <w:sz w:val="28"/>
          <w:szCs w:val="28"/>
          <w:lang w:eastAsia="en-US"/>
        </w:rPr>
        <w:t>сведений, отраженных ответственными исполнителями программ в Отчетах о реализации муниципальных программ в 2024 году (далее – Отчет), установлено:</w:t>
      </w:r>
    </w:p>
    <w:p w:rsidR="00B14C2A" w:rsidRDefault="00576BD1">
      <w:pPr>
        <w:pStyle w:val="af0"/>
        <w:numPr>
          <w:ilvl w:val="0"/>
          <w:numId w:val="6"/>
        </w:numPr>
        <w:tabs>
          <w:tab w:val="left" w:pos="111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Управлением образования </w:t>
      </w:r>
      <w:r>
        <w:rPr>
          <w:rFonts w:ascii="Times New Roman" w:hAnsi="Times New Roman" w:cs="Times New Roman"/>
          <w:sz w:val="28"/>
          <w:szCs w:val="28"/>
        </w:rPr>
        <w:t>несвоевременно принято решение о подтверждении потребности и направления остатков субсидии на иные цели на эти же цели в текущем финансовом году, в бюджет города Оренбурга не возвращен неиспользованный по состоянию на 01.01.2025 года остаток субсидии в сумме 35 574,5 тыс. рублей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стр. 78 - 79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14C2A" w:rsidRDefault="00576BD1">
      <w:pPr>
        <w:widowControl w:val="0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показатели (индикаторы) программы и их значения не отвечают требованиям реалистичности, доступности, экономичности, объективности, подконтрольности, сопоставимости, своевременности и периодичности (муниципальные программы «Доступное образование в городе Оренбурге» - </w:t>
      </w:r>
      <w:r>
        <w:rPr>
          <w:i/>
          <w:iCs/>
          <w:sz w:val="28"/>
          <w:szCs w:val="28"/>
        </w:rPr>
        <w:t>стр. 88-89</w:t>
      </w:r>
      <w:r>
        <w:rPr>
          <w:sz w:val="28"/>
          <w:szCs w:val="28"/>
        </w:rPr>
        <w:t xml:space="preserve">, «Молодой Оренбург» </w:t>
      </w:r>
      <w:r>
        <w:rPr>
          <w:i/>
          <w:iCs/>
          <w:sz w:val="28"/>
          <w:szCs w:val="28"/>
        </w:rPr>
        <w:t xml:space="preserve">- стр. 99-101, </w:t>
      </w:r>
      <w:r>
        <w:rPr>
          <w:iCs/>
          <w:sz w:val="28"/>
          <w:szCs w:val="28"/>
        </w:rPr>
        <w:t>«Социальная поддержка жителей города Оренбурга»</w:t>
      </w:r>
      <w:r>
        <w:rPr>
          <w:i/>
          <w:iCs/>
          <w:sz w:val="28"/>
          <w:szCs w:val="28"/>
        </w:rPr>
        <w:t xml:space="preserve"> - стр. 109,</w:t>
      </w:r>
      <w:r>
        <w:rPr>
          <w:sz w:val="28"/>
          <w:szCs w:val="28"/>
        </w:rPr>
        <w:t xml:space="preserve"> «Формирование современной городской среды на территории муниципального образования «город Оренбурга» - </w:t>
      </w:r>
      <w:r>
        <w:rPr>
          <w:i/>
          <w:iCs/>
          <w:sz w:val="28"/>
          <w:szCs w:val="28"/>
        </w:rPr>
        <w:t>стр. 125 и 127,</w:t>
      </w:r>
      <w:r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 xml:space="preserve">«Строительство и дорожное хозяйство в городе Оренбурге» - </w:t>
      </w:r>
      <w:r>
        <w:rPr>
          <w:i/>
          <w:iCs/>
          <w:sz w:val="28"/>
          <w:szCs w:val="28"/>
        </w:rPr>
        <w:t>стр. 135</w:t>
      </w:r>
      <w:r>
        <w:rPr>
          <w:sz w:val="28"/>
          <w:szCs w:val="28"/>
        </w:rPr>
        <w:t xml:space="preserve">,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>стр. 143-144</w:t>
      </w:r>
      <w:r>
        <w:rPr>
          <w:sz w:val="28"/>
          <w:szCs w:val="28"/>
        </w:rPr>
        <w:t>, «Комплексное благоустройство территории Южного округа города Оренбурга»</w:t>
      </w:r>
      <w:r>
        <w:rPr>
          <w:i/>
          <w:iCs/>
          <w:sz w:val="28"/>
          <w:szCs w:val="28"/>
        </w:rPr>
        <w:t xml:space="preserve"> - стр. 157-159,</w:t>
      </w:r>
      <w:r>
        <w:rPr>
          <w:sz w:val="28"/>
          <w:szCs w:val="28"/>
        </w:rPr>
        <w:t xml:space="preserve"> «Комплексное благоустройство и повышение качества жизни населения на территории Северного округа города Оренбурга»</w:t>
      </w:r>
      <w:r>
        <w:rPr>
          <w:i/>
          <w:iCs/>
          <w:sz w:val="28"/>
          <w:szCs w:val="28"/>
        </w:rPr>
        <w:t xml:space="preserve"> - стр. 166,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>«Развитие пассажирского транспорта на территории города Оренбурга»</w:t>
      </w:r>
      <w:r>
        <w:rPr>
          <w:sz w:val="28"/>
          <w:szCs w:val="28"/>
        </w:rPr>
        <w:t xml:space="preserve"> - </w:t>
      </w:r>
      <w:r>
        <w:rPr>
          <w:i/>
          <w:iCs/>
          <w:sz w:val="28"/>
          <w:szCs w:val="28"/>
        </w:rPr>
        <w:t>стр. 181,</w:t>
      </w:r>
      <w:r>
        <w:rPr>
          <w:sz w:val="28"/>
          <w:szCs w:val="28"/>
        </w:rPr>
        <w:t xml:space="preserve"> «Обеспечение деятельности Администрации города Оренбурга по решению вопросов местного значения и исполнению отдельных государственных полномочий» - </w:t>
      </w:r>
      <w:r>
        <w:rPr>
          <w:i/>
          <w:iCs/>
          <w:sz w:val="28"/>
          <w:szCs w:val="28"/>
        </w:rPr>
        <w:t>стр. 202-203,</w:t>
      </w:r>
      <w:r>
        <w:rPr>
          <w:sz w:val="28"/>
          <w:szCs w:val="28"/>
        </w:rPr>
        <w:t xml:space="preserve"> «Профилактика терроризма и экстремизма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 xml:space="preserve">стр. 228-229; </w:t>
      </w:r>
      <w:r>
        <w:rPr>
          <w:sz w:val="28"/>
          <w:szCs w:val="28"/>
        </w:rPr>
        <w:t xml:space="preserve">«Развитие муниципальной службы в Администрации города Оренбурга» - </w:t>
      </w:r>
      <w:r>
        <w:rPr>
          <w:i/>
          <w:iCs/>
          <w:sz w:val="28"/>
          <w:szCs w:val="28"/>
        </w:rPr>
        <w:t>стр. 238</w:t>
      </w:r>
      <w:r>
        <w:rPr>
          <w:sz w:val="28"/>
          <w:szCs w:val="28"/>
        </w:rPr>
        <w:t xml:space="preserve">, «Профилактика наркомании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>стр. 244</w:t>
      </w:r>
      <w:r>
        <w:rPr>
          <w:sz w:val="28"/>
          <w:szCs w:val="28"/>
        </w:rPr>
        <w:t>);</w:t>
      </w:r>
    </w:p>
    <w:p w:rsidR="00B14C2A" w:rsidRDefault="00576BD1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бюджетных средств на цели, не предусмотренные Решением о бюджете по направлениям, с которых произведены расходы (муниципальные программы «Развитие культуры и искусства в муниципальном образовании «город Оренбург» (90,0 тыс. рублей)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90-91</w:t>
      </w:r>
      <w:r>
        <w:rPr>
          <w:rFonts w:ascii="Times New Roman" w:hAnsi="Times New Roman" w:cs="Times New Roman"/>
          <w:sz w:val="28"/>
          <w:szCs w:val="28"/>
        </w:rPr>
        <w:t xml:space="preserve">, «Формирование современной городской среды на территории муниципального образования «город Оренбурга» (820,0 тыс. рублей)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стр. 125 и </w:t>
      </w:r>
      <w:r>
        <w:rPr>
          <w:rFonts w:ascii="Times New Roman" w:hAnsi="Times New Roman" w:cs="Times New Roman"/>
          <w:sz w:val="28"/>
          <w:szCs w:val="28"/>
        </w:rPr>
        <w:t xml:space="preserve">«Комплексное благоустройство и повышение качества жизни населения на территории Северного округа города Оренбурга» (16,7 тыс. рублей)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стр. 160-161, </w:t>
      </w:r>
      <w:r>
        <w:rPr>
          <w:rFonts w:ascii="Times New Roman" w:hAnsi="Times New Roman" w:cs="Times New Roman"/>
          <w:sz w:val="28"/>
          <w:szCs w:val="28"/>
        </w:rPr>
        <w:t xml:space="preserve">«Развитие муниципальной службы в Администрации города Оренбурга»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стр. </w:t>
      </w:r>
      <w:r>
        <w:rPr>
          <w:rFonts w:ascii="Times New Roman" w:hAnsi="Times New Roman" w:cs="Times New Roman"/>
          <w:i/>
          <w:sz w:val="28"/>
          <w:szCs w:val="28"/>
        </w:rPr>
        <w:t>235</w:t>
      </w:r>
      <w:r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B14C2A" w:rsidRDefault="00576BD1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в муниципальных программах показателей,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позволяющих оценить достижение целей и решение поставленных задач, ход и итоги реализации муниципальной программы (муниципальные программы </w:t>
      </w:r>
      <w:r>
        <w:rPr>
          <w:rFonts w:ascii="Times New Roman" w:hAnsi="Times New Roman" w:cs="Times New Roman"/>
          <w:sz w:val="28"/>
          <w:szCs w:val="28"/>
        </w:rPr>
        <w:t xml:space="preserve">«Комплексное благоустройство территории Южного округа города Оренбурга»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стр. 153,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«Комплексное благоустройство и повышение качества жизни населения на территории Северного округа города Оренбурга»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стр. 165, </w:t>
      </w:r>
      <w:r>
        <w:rPr>
          <w:rFonts w:ascii="Times New Roman" w:hAnsi="Times New Roman" w:cs="Times New Roman"/>
          <w:sz w:val="28"/>
          <w:szCs w:val="28"/>
        </w:rPr>
        <w:t xml:space="preserve">«Регулирование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173);</w:t>
      </w:r>
    </w:p>
    <w:p w:rsidR="00B14C2A" w:rsidRDefault="00576BD1">
      <w:pPr>
        <w:pStyle w:val="af0"/>
        <w:numPr>
          <w:ilvl w:val="0"/>
          <w:numId w:val="14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неотражение в Отчете отдельных показателей объема и качества муниципальных услуг (работ), оказываемых (выполняемых) муниципальными учреждениями (муниципальные программы «Спортивный Оренбург»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115</w:t>
      </w:r>
      <w:r>
        <w:rPr>
          <w:rFonts w:ascii="Times New Roman" w:hAnsi="Times New Roman" w:cs="Times New Roman"/>
          <w:sz w:val="28"/>
          <w:szCs w:val="28"/>
        </w:rPr>
        <w:t xml:space="preserve">, «Обеспечение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в муниципальном образовании «город Оренбург»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216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14C2A" w:rsidRDefault="00576BD1">
      <w:pPr>
        <w:widowControl w:val="0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отражение недостоверных сведений о достижении показателей (муниципальные программы «Формирование современной городской среды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>стр. 125 и 127</w:t>
      </w:r>
      <w:r>
        <w:rPr>
          <w:sz w:val="28"/>
          <w:szCs w:val="28"/>
        </w:rPr>
        <w:t xml:space="preserve">, «Строительство и дорожное хозяйство в городе Оренбурге» - </w:t>
      </w:r>
      <w:r>
        <w:rPr>
          <w:i/>
          <w:iCs/>
          <w:sz w:val="28"/>
          <w:szCs w:val="28"/>
        </w:rPr>
        <w:t>стр. 134-135</w:t>
      </w:r>
      <w:r>
        <w:rPr>
          <w:sz w:val="28"/>
          <w:szCs w:val="28"/>
        </w:rPr>
        <w:t xml:space="preserve">,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>стр. 144</w:t>
      </w:r>
      <w:r>
        <w:rPr>
          <w:sz w:val="28"/>
          <w:szCs w:val="28"/>
        </w:rPr>
        <w:t xml:space="preserve">, «Комплексное благоустройство и повышение качества жизни населения на территории Северного округа города Оренбурга» - </w:t>
      </w:r>
      <w:r>
        <w:rPr>
          <w:i/>
          <w:iCs/>
          <w:sz w:val="28"/>
          <w:szCs w:val="28"/>
        </w:rPr>
        <w:t xml:space="preserve">стр. 164-165, </w:t>
      </w:r>
      <w:r>
        <w:rPr>
          <w:iCs/>
          <w:sz w:val="28"/>
          <w:szCs w:val="28"/>
        </w:rPr>
        <w:t>«Развитие пассажирского транспорта на территории города Оренбурга»</w:t>
      </w:r>
      <w:r>
        <w:rPr>
          <w:sz w:val="28"/>
          <w:szCs w:val="28"/>
        </w:rPr>
        <w:t xml:space="preserve"> - </w:t>
      </w:r>
      <w:r>
        <w:rPr>
          <w:i/>
          <w:iCs/>
          <w:sz w:val="28"/>
          <w:szCs w:val="28"/>
        </w:rPr>
        <w:t>стр. 181,</w:t>
      </w:r>
      <w:r>
        <w:rPr>
          <w:sz w:val="28"/>
          <w:szCs w:val="28"/>
        </w:rPr>
        <w:t xml:space="preserve"> «Обеспечение деятельности Администрации города Оренбурга по решению вопросов местного значения и исполнению отдельных государственных полномочий» - </w:t>
      </w:r>
      <w:r>
        <w:rPr>
          <w:i/>
          <w:iCs/>
          <w:sz w:val="28"/>
          <w:szCs w:val="28"/>
        </w:rPr>
        <w:t xml:space="preserve">стр. 202-203, </w:t>
      </w:r>
      <w:r>
        <w:rPr>
          <w:sz w:val="28"/>
          <w:szCs w:val="28"/>
        </w:rPr>
        <w:t xml:space="preserve">«Профилактика терроризма и экстремизма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>стр. 228-229</w:t>
      </w:r>
      <w:r>
        <w:rPr>
          <w:sz w:val="28"/>
          <w:szCs w:val="28"/>
        </w:rPr>
        <w:t>).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Также Счетная палата обратила внимание на то, что и</w:t>
      </w:r>
      <w:r>
        <w:rPr>
          <w:sz w:val="28"/>
          <w:szCs w:val="28"/>
        </w:rPr>
        <w:t>нформация в аналитических записках к Отчетам не в полной мере раскрывает деятельность ГРБС в рамках реализации программных мероприятий, в том числе не указаны причины недостижения целевых показателей (индикаторов) непосредственных и конечных результатов;</w:t>
      </w:r>
    </w:p>
    <w:p w:rsidR="00B14C2A" w:rsidRDefault="00576BD1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непринятие мер по внесению изменений в муниципальные программы «Комплексное благоустройство территории Южного округа города Оренбурга» в связи с включением расходов, направленных на развитие туристической инфраструктуры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стр. 154-155,</w:t>
      </w:r>
      <w:r>
        <w:rPr>
          <w:rFonts w:ascii="Times New Roman" w:hAnsi="Times New Roman" w:cs="Times New Roman"/>
          <w:sz w:val="28"/>
          <w:szCs w:val="28"/>
        </w:rPr>
        <w:t xml:space="preserve"> «Охрана окружающей среды в границах муниципального образования «город Оренбург»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связи планированием расходов на реализацию природоохранных мероприятий в рамках иных муниципальных программ </w:t>
      </w:r>
      <w:r>
        <w:rPr>
          <w:rFonts w:ascii="Times New Roman" w:hAnsi="Times New Roman" w:cs="Times New Roman"/>
          <w:i/>
          <w:iCs/>
          <w:sz w:val="28"/>
          <w:szCs w:val="28"/>
        </w:rPr>
        <w:t>- стр. 155 и 162</w:t>
      </w:r>
      <w:r>
        <w:rPr>
          <w:rFonts w:ascii="Times New Roman" w:hAnsi="Times New Roman" w:cs="Times New Roman"/>
          <w:sz w:val="28"/>
          <w:szCs w:val="28"/>
        </w:rPr>
        <w:t xml:space="preserve">, «Регулирование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 в связи с несоответствием цели муниципальной программы расходов на обеспечение деятельности МБУ «Управление капитального строительства» -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стр. 172-173), </w:t>
      </w:r>
      <w:r>
        <w:rPr>
          <w:rFonts w:ascii="Times New Roman" w:hAnsi="Times New Roman" w:cs="Times New Roman"/>
          <w:sz w:val="28"/>
          <w:szCs w:val="28"/>
        </w:rPr>
        <w:t xml:space="preserve">«Профилактика наркомании на территории муниципального образования «город Оренбург» в части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корректировки объема расходов на достижение Администрацией Северного округа целевых показателей (индикаторов) 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241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14C2A" w:rsidRDefault="00576BD1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искажение объема дебиторской задолженности по перечисленным СНТ и ТСН субсидий на проведение восстановительных работ на землях общего пользования для обеспечения проезда автомобильного транспорта (по муниципальной программе «Строительство и дорожное хозяйство в городе Оренбурге» (26 936,2 тыс. рублей)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135)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C2A" w:rsidRDefault="00576BD1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перечисление подведомственным учреждениям субсидии на выполнение в 2024 году муниципального задания в объеме меньше определенного соглашениями  на выполнение муниципального задания) (муниципальная программа «Обеспечение деятельности Администрации города Оренбурга по решению вопросов местного значения и исполнению отдельных государственных полномочий» (1 333,3 тыс. рублей) 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199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14C2A" w:rsidRDefault="00576BD1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при заключении муниципальных контрактов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(муниципальные программы «Комплексное благоустройство территории Южного округа города Оренбурга»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стр. 152-153 </w:t>
      </w:r>
      <w:r>
        <w:rPr>
          <w:rFonts w:ascii="Times New Roman" w:hAnsi="Times New Roman" w:cs="Times New Roman"/>
          <w:iCs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«Комплексное благоустройство и повышение качества жизни населения на территории Северного округа города Оренбурга»);</w:t>
      </w:r>
    </w:p>
    <w:p w:rsidR="00B14C2A" w:rsidRDefault="00576BD1">
      <w:pPr>
        <w:pStyle w:val="af0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неэффективные расходы (муниципальные программы «Обеспечение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в муниципальном образовании «город Оренбург» (99,1 тыс. рублей) - </w:t>
      </w:r>
      <w:r>
        <w:rPr>
          <w:rFonts w:ascii="Times New Roman" w:hAnsi="Times New Roman" w:cs="Times New Roman"/>
          <w:i/>
          <w:iCs/>
          <w:sz w:val="28"/>
          <w:szCs w:val="28"/>
        </w:rPr>
        <w:t>стр. 215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14C2A" w:rsidRDefault="00576BD1">
      <w:pPr>
        <w:widowControl w:val="0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целевых показателей (индикаторов) муниципальной программы при отсутствии утвержденных объемов финансирования, что свидетельствует о реализации мероприятий за счет бюджетных средств, выделенных на реализацию других муниципальных программ и (или) непрограммных расходов бюджета города Оренбурга (муниципальные программы «Укрепление общественного здоровья на территории муниципального образования «город Оренбург» - </w:t>
      </w:r>
      <w:r>
        <w:rPr>
          <w:i/>
          <w:iCs/>
          <w:sz w:val="28"/>
          <w:szCs w:val="28"/>
        </w:rPr>
        <w:t>стр. 68 и</w:t>
      </w:r>
      <w:r>
        <w:rPr>
          <w:sz w:val="28"/>
          <w:szCs w:val="28"/>
        </w:rPr>
        <w:t xml:space="preserve"> «Профилактика правонарушений в муниципальной образовании «город Оренбург» - </w:t>
      </w:r>
      <w:r>
        <w:rPr>
          <w:i/>
          <w:iCs/>
          <w:sz w:val="28"/>
          <w:szCs w:val="28"/>
        </w:rPr>
        <w:t>стр. 221</w:t>
      </w:r>
      <w:r>
        <w:rPr>
          <w:sz w:val="28"/>
          <w:szCs w:val="28"/>
        </w:rPr>
        <w:t>).</w:t>
      </w: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15.6.</w:t>
      </w:r>
      <w:r>
        <w:rPr>
          <w:sz w:val="28"/>
          <w:szCs w:val="28"/>
          <w:shd w:val="clear" w:color="auto" w:fill="FFFFFF"/>
        </w:rPr>
        <w:t xml:space="preserve"> Объемы финансирования м</w:t>
      </w:r>
      <w:r>
        <w:rPr>
          <w:sz w:val="28"/>
          <w:szCs w:val="28"/>
        </w:rPr>
        <w:t>униципальной программ</w:t>
      </w:r>
      <w:r>
        <w:rPr>
          <w:sz w:val="28"/>
        </w:rPr>
        <w:t>ы</w:t>
      </w:r>
      <w:r>
        <w:rPr>
          <w:sz w:val="28"/>
          <w:szCs w:val="28"/>
        </w:rPr>
        <w:t xml:space="preserve"> энергосбережения и повышения энергетической эффективности в городе Оренбурге на 2016-2025 годы</w:t>
      </w:r>
      <w:r>
        <w:rPr>
          <w:sz w:val="28"/>
          <w:szCs w:val="28"/>
          <w:shd w:val="clear" w:color="auto" w:fill="FFFFFF"/>
        </w:rPr>
        <w:t xml:space="preserve"> в соответствие с первоначальным Решением о бюджете приведены постановлением Администрации города Оренбурга от 10.02.2023 № 129-п, при этом</w:t>
      </w:r>
      <w:r>
        <w:rPr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нарушение требований пункта 2 статьи 179 Бюджетного кодекса РФ наименования структурных элементов в соответствие с Решением о бюджете не приведены. </w:t>
      </w: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 xml:space="preserve">Кроме этого, плановые значения целевых показателей </w:t>
      </w:r>
      <w:r>
        <w:rPr>
          <w:sz w:val="28"/>
          <w:szCs w:val="28"/>
        </w:rPr>
        <w:t>«У</w:t>
      </w:r>
      <w:r>
        <w:rPr>
          <w:sz w:val="28"/>
          <w:szCs w:val="28"/>
          <w:shd w:val="clear" w:color="auto" w:fill="FFFFFF"/>
        </w:rPr>
        <w:t xml:space="preserve">величение количества объектов, использующих в качестве источников энергии вторичные энергетические ресурсы и (или) возобновляемые источники энергии» и «Сокращение потерь энергетических ресурсов при их передаче, в том числе в системах коммунальной инфраструктуры» утверждены: 0,0 шт. (ежегодно) и 0,0% </w:t>
      </w:r>
      <w:r>
        <w:rPr>
          <w:sz w:val="28"/>
          <w:szCs w:val="28"/>
          <w:shd w:val="clear" w:color="auto" w:fill="FFFFFF"/>
        </w:rPr>
        <w:lastRenderedPageBreak/>
        <w:t>(ежегодно) соответственно. При этом в</w:t>
      </w:r>
      <w:r>
        <w:rPr>
          <w:sz w:val="28"/>
          <w:szCs w:val="28"/>
          <w:lang w:eastAsia="en-US"/>
        </w:rPr>
        <w:t xml:space="preserve"> соответствии с частью 4 статьи 14 Федерального закона № 261-ФЗ «Об энергосбережении» значения целевых показателей в области энергосбережения и повышения энергетической эффективности должны, в том числе отражать «сокращение потерь энергетических ресурсов при их передаче, в том числе в системах коммунальной инфраструктуры» и «увеличение количества объектов, использующих в качестве источников энергии вторичные энергетические ресурсы и (или) возобновляемые источники энергии».</w:t>
      </w:r>
    </w:p>
    <w:p w:rsidR="00B14C2A" w:rsidRDefault="00B14C2A">
      <w:pPr>
        <w:widowControl w:val="0"/>
        <w:tabs>
          <w:tab w:val="left" w:pos="1134"/>
        </w:tabs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>
        <w:rPr>
          <w:sz w:val="28"/>
          <w:szCs w:val="28"/>
          <w:lang w:eastAsia="en-US"/>
        </w:rPr>
        <w:t xml:space="preserve">Решением </w:t>
      </w:r>
      <w:r>
        <w:rPr>
          <w:sz w:val="28"/>
          <w:szCs w:val="28"/>
        </w:rPr>
        <w:t>о бюджете первоначально предусматривались бюджетные ассигнования на реализацию шести региональных проектов Оренбургской области (далее – Региональные проекты) в общей сумме 6 132 269,6 тыс. рублей и трех приоритетных проектов Оренбургской области (далее – Приоритетные проекты) в общей сумме 7 974,8 тыс. рублей.</w:t>
      </w: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По состоянию на конец отчетного периода Решением о бюджете (в редакции РОГС от 24.12.2024 № 562) предусмотрены бюджетные ассигнования на реализацию восьми Региональных проектов в общей сумме 4 585 053,6 тыс. рублей и двух Приоритетных проектов в общей сумме 6 613,5 тыс. рублей.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Сводной бюджетной росписью на 31.12.2024 утверждены бюджетные ассигнования на реализацию Региональных проектов в сумме 4 585 016,5 тыс. рублей (на 37,1 тыс. рублей меньше объема утвержденного Решением о бюджете). Сокращение объема финансирования связано с тем, что 28 декабря 2024 года Финансовым управлением внесены изменения в Сводную бюджетную роспись, в соответствии с которыми объем бюджетных ассигнований на реализацию регионального проекта «Обеспечение устойчивого сокращения непригодного для проживания жилищного фонда» уменьшен на 37,1 тыс. рублей.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Приоритетных проектов СБР по состоянию на конец 2024 года утверждены бюджетные ассигнования в сумме 6 613,5 тыс. рублей, что соответствует объему назначений, утвержденному Решением о бюджете.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Кассовое исполнение Региональных проектов в 2024 году составило 4 585 016,0 тыс. рублей или 99,9% от утвержденных бюджетных ассигнований</w:t>
      </w:r>
      <w:r>
        <w:rPr>
          <w:bCs/>
          <w:sz w:val="28"/>
          <w:szCs w:val="28"/>
        </w:rPr>
        <w:t>. По отношению к общему объему расходов на реализацию мероприятий Региональных проектов в 2023 году (</w:t>
      </w:r>
      <w:r>
        <w:rPr>
          <w:sz w:val="28"/>
          <w:szCs w:val="28"/>
        </w:rPr>
        <w:t>5 856 055,6 тыс. рублей</w:t>
      </w:r>
      <w:r>
        <w:rPr>
          <w:bCs/>
          <w:sz w:val="28"/>
          <w:szCs w:val="28"/>
        </w:rPr>
        <w:t>) расходы отчетного периода сократились на 1 271 039,6 тыс. рублей или на 21,7%.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Расходы на реализацию в 2024 году мероприятий Приоритетных проектов относительно показателя 2023 года (296 286,7 тыс. рублей) сократились на 290 191,1 тыс. рублей и составили 6 095,7 тыс. рублей</w:t>
      </w:r>
      <w:r>
        <w:rPr>
          <w:bCs/>
          <w:sz w:val="28"/>
          <w:szCs w:val="28"/>
        </w:rPr>
        <w:t>.</w:t>
      </w:r>
    </w:p>
    <w:p w:rsidR="00B14C2A" w:rsidRDefault="00576BD1">
      <w:pPr>
        <w:widowControl w:val="0"/>
        <w:tabs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Мероприятия Региональных и Приоритетных проектов утверждены в рамках семи муниципальных программ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B14C2A" w:rsidRPr="00172F43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об утвержденных муниципальными программами города Оренбурга целевых показателях (индикаторах), характеризующих выполнение мероприятий региональных и приоритетных проектов, и их достижении, представлены в следующей таблице.</w:t>
      </w:r>
    </w:p>
    <w:p w:rsidR="00B14C2A" w:rsidRPr="00172F43" w:rsidRDefault="00B14C2A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</w:p>
    <w:p w:rsidR="00B14C2A" w:rsidRPr="00172F43" w:rsidRDefault="00B14C2A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</w:p>
    <w:p w:rsidR="00B14C2A" w:rsidRPr="00172F43" w:rsidRDefault="00B14C2A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</w:p>
    <w:tbl>
      <w:tblPr>
        <w:tblW w:w="1021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257"/>
        <w:gridCol w:w="881"/>
        <w:gridCol w:w="785"/>
        <w:gridCol w:w="973"/>
        <w:gridCol w:w="46"/>
        <w:gridCol w:w="927"/>
        <w:gridCol w:w="93"/>
        <w:gridCol w:w="1021"/>
        <w:gridCol w:w="236"/>
      </w:tblGrid>
      <w:tr w:rsidR="00B14C2A">
        <w:trPr>
          <w:trHeight w:val="20"/>
        </w:trPr>
        <w:tc>
          <w:tcPr>
            <w:tcW w:w="5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изме-рения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Испол-нитель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достижения целевого показателя</w:t>
            </w:r>
            <w:r>
              <w:rPr>
                <w:sz w:val="18"/>
                <w:szCs w:val="18"/>
              </w:rPr>
              <w:br/>
              <w:t>%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1030"/>
        </w:trPr>
        <w:tc>
          <w:tcPr>
            <w:tcW w:w="5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</w:t>
            </w:r>
          </w:p>
        </w:tc>
        <w:tc>
          <w:tcPr>
            <w:tcW w:w="11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Региональный проект «Региональная и местная дорожная сеть (Оренбургская область)»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«Строительство и дорожное хозяйство в городе Оренбурге»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протяженность отремонтированных автомобильных дорог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км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15,120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15,796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104,4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протяженность отремонтированных автомобильных дорог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км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2,980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2,292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76,9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Приведение в нормативное состояние автомобильных дорог городских агломераций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протяженность отремонтированных автомобильных дорог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км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20,525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20,525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Целевые показатели (индикаторы) конечного результата:</w:t>
            </w: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Доля дорожной сети городской агломерации, находящейся в нормативном состоянии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%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80,34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80,39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Региональный проект «Жилье»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«Строительство и дорожное хозяйство в городе Оренбурге»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Стимулирование программ развития жилищного строительства (магистраль районного значения, соединяющая ул. Степана Разина и Загородное шоссе (дублер ул. Чкалова) в г. Оренбурге. 2 этап)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подготовленных проектных документаций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проведенных экспертиз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Стимулирование программ развития жилищного строительства (магистраль районного значения, соединяющая ул. Степана Разина и Загородное шоссе (дублер ул. Чкалова) в г. Оренбурге. 3 этап)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подготовленных проектных документаций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проведенных экспертиз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Стимулирование программ развития жилищного строительства (магистраль районного значения, соединяющая ул. Степана Разина и Загородное шоссе (дублер ул. Чкалова) в г. Оренбурге. 1 этап)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протяженность построенных (реконструированных) автомобильных дорог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3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Значение показателя запланировано на 2025 год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Стимулирование программ развития жилищного строительства (строительство дороги ул. Маршала Советского Союза Рокоссовского, соединяющей ул. Терешковой и пр. Победы в г. Оренбурге. Участок, соединяющий ул. Терешковой и пр. Победы в г. Оренбурге. 1 пусковой комплекс)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протяженность построенных (реконструированных) автомобильных дорог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2,387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2,391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100,2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Капитальные вложения в объекты муниципальной собственности в целях стимулирования жилищного строительства (Магистраль районного значения, соединяющая ул. Степана Разина и Загородное шоссе. (Дублер ул. Чкалова) в г. Оренбурге. Этап 1.2)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подготовленных проектных документаций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312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Значение показателя запланировано на 2025 год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проведенных экспертиз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протяженность построенных (реконструированных) автомобильных дорог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км.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Региональный проект «Современная школа»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«Доступное образование в городе Оренбурге»</w:t>
            </w:r>
          </w:p>
        </w:tc>
      </w:tr>
      <w:tr w:rsidR="00B14C2A">
        <w:trPr>
          <w:trHeight w:val="47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(строительство школы на 1755 мест по ул. Гаранькина г. Оренбурга)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47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созданных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мест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ДГиЗО</w:t>
            </w:r>
          </w:p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1 755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доля педагогических работников ООО,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%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79,1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79,1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Региональный проект «Патриотическое воспитание граждан Российской Федерации»</w:t>
            </w:r>
          </w:p>
        </w:tc>
      </w:tr>
      <w:tr w:rsidR="00B14C2A">
        <w:trPr>
          <w:trHeight w:val="47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«Доступное образование в городе Оренбурге»</w:t>
            </w:r>
          </w:p>
          <w:p w:rsidR="00B14C2A" w:rsidRDefault="00B14C2A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 для организации работы по воспитанию и взаимодействию обучающихся с детскими общественными объединениями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увеличение численности детей и молодежи в возрасте до 35 лет, вовлеченных в социально активную деятельность через </w:t>
            </w:r>
            <w:r>
              <w:rPr>
                <w:i/>
                <w:sz w:val="18"/>
                <w:szCs w:val="18"/>
              </w:rPr>
              <w:lastRenderedPageBreak/>
              <w:t>увеличение охвата патриотическими проектами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тыс. чел.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29,0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29,0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lastRenderedPageBreak/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тыс. чел.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1,95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1,95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ООО, оснащенных государственными символами РФ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42,0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85,0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202,3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обеспечение мероприятий по привлечению квалифицированных кадров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чел.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85,0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87,0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102,3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Региональный проект «Культурная среда»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«Развитие культуры и искусства в муниципальном образовании «город Оренбург»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государственной поддержке отрасли культуры (обеспечение музыкальными инструментами, оборудованием и учебными материалами, ремонт зданий школ), в т.ч.: оснащение образовательных учреждений в сфере культуры (ДШИ по видам искусств) музыкальными инструментами, оборудованием и учебными материалами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621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Cs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оснащенных образовательных учреждений в сфере культуры (ДШИ по видам искусств) музыкальными инструментами, оборудованием и учебными материалами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ед.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УКиИ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жилого фонда»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«Переселение граждан муниципального образования «город Оренбург» из жилых домов, признанных аварийными»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площадь расселенного непригодного для проживания жилищного фонда муниципального образования "город Оренбург"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кв.м.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УЖКХ</w:t>
            </w:r>
          </w:p>
        </w:tc>
        <w:tc>
          <w:tcPr>
            <w:tcW w:w="3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Значение показателя на 2024 год не установлено, показатель выполнен в 2023 году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«Формирование современной городской среды на территории муниципального образования «город Оренбург» на 2018-2029 годы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прирост индекса индекс качества городской среды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по отношению к 2019 году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%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индекс качества городской среды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балл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238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106,7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принявших участие в решении вопросов развития городской среды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тыс. чел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121,6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100,3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благоустроенных общественных территорий (нарастающим итогом)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ед.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благоустроенных дворовых и общественных пространств, включенных в муниципальные программы формирования современной городской среды территорий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ед.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i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37,0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%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  <w:bookmarkStart w:id="5" w:name="_Hlk196209506"/>
            <w:bookmarkEnd w:id="5"/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Региональный проект «Развитие туристической инфраструктуры (Оренбургская область)»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«Комплексное благоустройство территории Южного округа города Оренбурга»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проекта по развитию общественной территории, в том числе по обустройству туристского центра города Оренбурга в соответствии с туристским кодом центра города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реализованных проектов по развитию общественной территории, в том числе по обустройству туристского центра города Оренбурга в соответствии с туристическим кодом центра города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ДГиЗО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«Комплексное благоустройство территории Северного округа города Оренбурга»</w:t>
            </w:r>
          </w:p>
        </w:tc>
      </w:tr>
      <w:tr w:rsidR="00B14C2A">
        <w:trPr>
          <w:trHeight w:val="47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завершению реализации инициативных проектов «Благоустройство парка Победы на территории поселка Самородово Промышленного района города Оренбурга (2 этап)»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поданных заявок на участие в конкурсном отборе инициативных проектов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АСО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инициативных проектов, прошедших конкурсный отбор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 xml:space="preserve">доля реализованных инициативных проектов от общего количества инициативных проектов, предусмотренных к </w:t>
            </w:r>
            <w:r>
              <w:rPr>
                <w:i/>
                <w:sz w:val="18"/>
                <w:szCs w:val="18"/>
              </w:rPr>
              <w:lastRenderedPageBreak/>
              <w:t>реализации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%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Муниципальная программа «Комплексное благоустройство территории Южного округа города Оренбурга»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основания хоккейного корта, приобретение оборудования для спортивной площадки, благоустройство мемориала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количество инициативных проектов, прошедших конкурсный отбор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АЮО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доля реализованных инициативных проектов от общего количества инициативных проектов, предусмотренных к реализации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%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х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Благоустройство основания хоккейного корта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iCs/>
                <w:sz w:val="16"/>
                <w:szCs w:val="16"/>
              </w:rPr>
              <w:t>проект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47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Приобретение оборудования для спортивной площадки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проект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Благоустройство мемориала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проект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Приоритетный проект «Культура малой Родины»</w:t>
            </w:r>
          </w:p>
        </w:tc>
      </w:tr>
      <w:tr w:rsidR="00B14C2A">
        <w:trPr>
          <w:trHeight w:val="20"/>
        </w:trPr>
        <w:tc>
          <w:tcPr>
            <w:tcW w:w="10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«Развитие культуры и искусства в муниципальном образовании «город Оренбург»</w:t>
            </w:r>
          </w:p>
        </w:tc>
      </w:tr>
      <w:tr w:rsidR="00B14C2A">
        <w:trPr>
          <w:trHeight w:val="20"/>
        </w:trPr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мероприятий по поддержке творческой деятельности и техническое оснащение детских и кукольных театров (создание новых постановок и (или) улучшение технического оснащения)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учреждений, участвующих в мероприятиях по поддержке творческой деятельности и техническому оснащению детских и кукольных театров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  <w:tr w:rsidR="00B14C2A">
        <w:trPr>
          <w:trHeight w:val="20"/>
        </w:trPr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количество созданных и восстановленных спектаклей (МАУ «Оренбургский театр кукол «Пьеро»)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2,0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9" w:type="dxa"/>
          </w:tcPr>
          <w:p w:rsidR="00B14C2A" w:rsidRDefault="00B14C2A">
            <w:pPr>
              <w:widowControl w:val="0"/>
            </w:pPr>
          </w:p>
        </w:tc>
      </w:tr>
    </w:tbl>
    <w:p w:rsidR="00B14C2A" w:rsidRDefault="00B14C2A">
      <w:pPr>
        <w:widowControl w:val="0"/>
        <w:ind w:left="0"/>
        <w:jc w:val="both"/>
        <w:rPr>
          <w:sz w:val="12"/>
          <w:szCs w:val="22"/>
          <w:lang w:eastAsia="en-US"/>
        </w:rPr>
      </w:pP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17. </w:t>
      </w:r>
      <w:r>
        <w:rPr>
          <w:sz w:val="28"/>
          <w:szCs w:val="28"/>
          <w:lang w:eastAsia="en-US"/>
        </w:rPr>
        <w:t xml:space="preserve">Решением </w:t>
      </w:r>
      <w:r>
        <w:rPr>
          <w:sz w:val="28"/>
          <w:szCs w:val="28"/>
        </w:rPr>
        <w:t>о бюджете по состоянию на конец отчетного года утверждены непрограммные расходы в сумме 548 884,3 тыс. рублей, что составляет 1,9% от общей суммы бюджетных ассигнований.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Сводной бюджетной росписью по состоянию на 31.12.2024 год утверждены непрограммные расходы в сумме 549 474,4 тыс. рублей, что на 590,1 тыс. рублей больше, чем утверждено Решением о бюджете.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непрограммной части бюджета города Оренбурга составило 541 030,4 тыс. рублей или 98,5% от утвержденного СБР объема бюджетных ассигнований.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Основные направления непрограммных расходов в 2024 году представлены в следующей таблице.</w:t>
      </w:r>
    </w:p>
    <w:p w:rsidR="00B14C2A" w:rsidRDefault="00576BD1">
      <w:pPr>
        <w:ind w:left="0"/>
        <w:jc w:val="right"/>
        <w:rPr>
          <w:sz w:val="20"/>
          <w:szCs w:val="28"/>
        </w:rPr>
      </w:pPr>
      <w:r>
        <w:rPr>
          <w:sz w:val="20"/>
          <w:szCs w:val="28"/>
        </w:rPr>
        <w:t>(тыс. рублей)</w:t>
      </w:r>
    </w:p>
    <w:tbl>
      <w:tblPr>
        <w:tblW w:w="1021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540"/>
        <w:gridCol w:w="1701"/>
        <w:gridCol w:w="1133"/>
        <w:gridCol w:w="713"/>
        <w:gridCol w:w="1128"/>
      </w:tblGrid>
      <w:tr w:rsidR="00B14C2A">
        <w:trPr>
          <w:trHeight w:val="20"/>
        </w:trPr>
        <w:tc>
          <w:tcPr>
            <w:tcW w:w="5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bCs/>
                <w:color w:val="000000"/>
                <w:sz w:val="18"/>
                <w:szCs w:val="20"/>
              </w:rPr>
              <w:t>Направление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bCs/>
                <w:color w:val="000000"/>
                <w:sz w:val="18"/>
                <w:szCs w:val="20"/>
              </w:rPr>
              <w:t>Утверждено СБР на 31.12.2024</w:t>
            </w: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bCs/>
                <w:color w:val="000000"/>
                <w:sz w:val="18"/>
                <w:szCs w:val="20"/>
              </w:rPr>
              <w:t>Исполнено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bCs/>
                <w:color w:val="000000"/>
                <w:sz w:val="18"/>
                <w:szCs w:val="20"/>
              </w:rPr>
              <w:t>Отклонение</w:t>
            </w:r>
          </w:p>
        </w:tc>
      </w:tr>
      <w:tr w:rsidR="00B14C2A">
        <w:trPr>
          <w:trHeight w:val="20"/>
        </w:trPr>
        <w:tc>
          <w:tcPr>
            <w:tcW w:w="5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bCs/>
                <w:color w:val="000000"/>
                <w:sz w:val="18"/>
                <w:szCs w:val="20"/>
              </w:rPr>
              <w:t>сумма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bCs/>
                <w:color w:val="000000"/>
                <w:sz w:val="18"/>
                <w:szCs w:val="20"/>
              </w:rPr>
              <w:t>%</w:t>
            </w: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B14C2A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</w:p>
        </w:tc>
      </w:tr>
      <w:tr w:rsidR="00B14C2A">
        <w:trPr>
          <w:trHeight w:val="20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Руководство и управление в сфере установленных функций органов местного самоуправления города Оренбурга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  <w:highlight w:val="yellow"/>
              </w:rPr>
            </w:pPr>
            <w:r>
              <w:rPr>
                <w:color w:val="000000"/>
                <w:sz w:val="18"/>
                <w:szCs w:val="20"/>
              </w:rPr>
              <w:t>108 603,3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  <w:highlight w:val="yellow"/>
              </w:rPr>
            </w:pPr>
            <w:r>
              <w:rPr>
                <w:color w:val="000000"/>
                <w:sz w:val="18"/>
                <w:szCs w:val="20"/>
              </w:rPr>
              <w:t>107 827,7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  <w:highlight w:val="yellow"/>
              </w:rPr>
            </w:pPr>
            <w:r>
              <w:rPr>
                <w:color w:val="000000"/>
                <w:sz w:val="18"/>
                <w:szCs w:val="20"/>
              </w:rPr>
              <w:t>99,2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  <w:highlight w:val="yellow"/>
              </w:rPr>
            </w:pPr>
            <w:r>
              <w:rPr>
                <w:color w:val="000000"/>
                <w:sz w:val="18"/>
                <w:szCs w:val="20"/>
              </w:rPr>
              <w:t>-775,6</w:t>
            </w:r>
          </w:p>
        </w:tc>
      </w:tr>
      <w:tr w:rsidR="00B14C2A">
        <w:trPr>
          <w:trHeight w:val="20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Прочие мероприятия в рамках управленческой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321 923,2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321 493,7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99,9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-429,5</w:t>
            </w:r>
          </w:p>
        </w:tc>
      </w:tr>
      <w:tr w:rsidR="00B14C2A">
        <w:trPr>
          <w:trHeight w:val="20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493,5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493,5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0</w:t>
            </w:r>
          </w:p>
        </w:tc>
      </w:tr>
      <w:tr w:rsidR="00B14C2A">
        <w:trPr>
          <w:trHeight w:val="20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97 720,6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92 992,9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95,1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-4 727,7</w:t>
            </w:r>
          </w:p>
        </w:tc>
      </w:tr>
      <w:tr w:rsidR="00B14C2A">
        <w:trPr>
          <w:trHeight w:val="20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Прочие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20 733,8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18 222,6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87,9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-2 511,2</w:t>
            </w:r>
          </w:p>
        </w:tc>
      </w:tr>
      <w:tr w:rsidR="00B14C2A">
        <w:trPr>
          <w:trHeight w:val="20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2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sz w:val="18"/>
                <w:szCs w:val="18"/>
              </w:rPr>
              <w:t>549 474,4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sz w:val="18"/>
                <w:szCs w:val="18"/>
              </w:rPr>
              <w:t>541 030,4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20"/>
              </w:rPr>
              <w:t>98,5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20"/>
              </w:rPr>
              <w:t>-8 444,0</w:t>
            </w:r>
          </w:p>
        </w:tc>
      </w:tr>
    </w:tbl>
    <w:p w:rsidR="00B14C2A" w:rsidRDefault="00B14C2A">
      <w:pPr>
        <w:ind w:left="709"/>
        <w:contextualSpacing/>
        <w:jc w:val="both"/>
        <w:rPr>
          <w:b/>
          <w:sz w:val="16"/>
          <w:szCs w:val="16"/>
        </w:rPr>
      </w:pPr>
    </w:p>
    <w:p w:rsidR="00B14C2A" w:rsidRDefault="00576BD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b/>
          <w:sz w:val="28"/>
          <w:szCs w:val="28"/>
        </w:rPr>
        <w:t>17.1.</w:t>
      </w:r>
      <w:r>
        <w:rPr>
          <w:sz w:val="28"/>
          <w:szCs w:val="28"/>
        </w:rPr>
        <w:t xml:space="preserve"> В 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рамках направления «Руководство и управление в сфере установленных функций органов местного самоуправления города Оренбурга» произведены расходы на обеспечение деятельности Главы города Оренбурга, Оренбургского городского совета, Счетной палаты города Оренбурга, а также поощрение муниципальных управленческих команд Оренбургской области за достижение показателей деятельности органов исполнительной власти.</w:t>
      </w:r>
    </w:p>
    <w:p w:rsidR="00B14C2A" w:rsidRDefault="00576BD1">
      <w:pPr>
        <w:widowControl w:val="0"/>
        <w:tabs>
          <w:tab w:val="left" w:pos="1134"/>
          <w:tab w:val="left" w:pos="1418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b/>
          <w:sz w:val="28"/>
          <w:szCs w:val="28"/>
        </w:rPr>
        <w:t>17.2.</w:t>
      </w:r>
      <w:r>
        <w:rPr>
          <w:sz w:val="28"/>
          <w:szCs w:val="28"/>
        </w:rPr>
        <w:t xml:space="preserve"> По н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аправлению «Прочие мероприятия в рамках управленческой деятельности» основной объем средств (321 493,7 тыс. рублей или 99,9%) направлен на исполнение судебных актов и мировых соглашений, иные выплаты по обязательствам муниципального образования «город Оренбург».</w:t>
      </w:r>
    </w:p>
    <w:p w:rsidR="00B14C2A" w:rsidRDefault="00576BD1">
      <w:pPr>
        <w:widowControl w:val="0"/>
        <w:tabs>
          <w:tab w:val="left" w:pos="1134"/>
          <w:tab w:val="left" w:pos="1418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b/>
          <w:sz w:val="28"/>
          <w:szCs w:val="28"/>
        </w:rPr>
        <w:t>17.3.</w:t>
      </w:r>
      <w:r>
        <w:rPr>
          <w:sz w:val="28"/>
          <w:szCs w:val="28"/>
        </w:rPr>
        <w:t xml:space="preserve"> Кассовые 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расходы по направлению «Мероприятия в области жилищно-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коммунального хозяйства» в 2024 году составили 493,5 тыс. рублей. Весь объем бюджетных ассигнований утвержден УЖКХ на реализацию мероприятий по созданию приюта для животных (проектно-изыскательские работы).</w:t>
      </w:r>
    </w:p>
    <w:p w:rsidR="00B14C2A" w:rsidRDefault="00576BD1">
      <w:pPr>
        <w:widowControl w:val="0"/>
        <w:tabs>
          <w:tab w:val="left" w:pos="1134"/>
          <w:tab w:val="left" w:pos="1418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b/>
          <w:sz w:val="28"/>
          <w:szCs w:val="28"/>
        </w:rPr>
        <w:t>17.4.</w:t>
      </w:r>
      <w:r>
        <w:rPr>
          <w:sz w:val="28"/>
          <w:szCs w:val="28"/>
        </w:rPr>
        <w:t xml:space="preserve"> Общий 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объем расходов резервных фондов составил </w:t>
      </w:r>
      <w:r>
        <w:rPr>
          <w:rFonts w:eastAsia="Calibri"/>
          <w:color w:val="000000"/>
          <w:kern w:val="2"/>
          <w:sz w:val="28"/>
          <w:szCs w:val="28"/>
          <w:lang w:eastAsia="en-US"/>
          <w14:ligatures w14:val="standardContextual"/>
        </w:rPr>
        <w:t>92 992,9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тыс. рублей или 95,1% от утвержденного объема ассигнований. Расходы произведены за счет средств р</w:t>
      </w:r>
      <w:r>
        <w:rPr>
          <w:rFonts w:eastAsia="Calibri"/>
          <w:bCs/>
          <w:iCs/>
          <w:kern w:val="2"/>
          <w:sz w:val="28"/>
          <w:szCs w:val="28"/>
          <w:lang w:eastAsia="en-US"/>
          <w14:ligatures w14:val="standardContextual"/>
        </w:rPr>
        <w:t>езервного фонда Администрации города Оренбурга – 65 376,6 тыс. рублей. Использование средств резерва финансовых и материальных ресурсов в отчетном периоде составило 27 616,3 тыс. рублей.</w:t>
      </w:r>
    </w:p>
    <w:p w:rsidR="00B14C2A" w:rsidRDefault="00576BD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b/>
          <w:sz w:val="28"/>
          <w:szCs w:val="28"/>
        </w:rPr>
        <w:t>17.5.</w:t>
      </w:r>
      <w:r>
        <w:rPr>
          <w:sz w:val="28"/>
          <w:szCs w:val="28"/>
        </w:rPr>
        <w:t xml:space="preserve"> Объем непрограммных расходов по направлению 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«Прочие непрограммные мероприятия» составил </w:t>
      </w:r>
      <w:r>
        <w:rPr>
          <w:rFonts w:eastAsia="Calibri"/>
          <w:color w:val="000000"/>
          <w:kern w:val="2"/>
          <w:sz w:val="28"/>
          <w:szCs w:val="28"/>
          <w:lang w:eastAsia="en-US"/>
          <w14:ligatures w14:val="standardContextual"/>
        </w:rPr>
        <w:t>18 222,6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тыс. рублей и направлен на:</w:t>
      </w:r>
    </w:p>
    <w:p w:rsidR="00B14C2A" w:rsidRDefault="00576BD1">
      <w:pPr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выполнение обязательств, связанных с уплатой прочих налогов – 217,9 тыс. рублей;</w:t>
      </w:r>
    </w:p>
    <w:p w:rsidR="00B14C2A" w:rsidRDefault="00576BD1">
      <w:pPr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выплату вознаграждения членам органов территориального общественного самоуправления – 1 724,1 тыс. рублей;</w:t>
      </w:r>
    </w:p>
    <w:p w:rsidR="00B14C2A" w:rsidRDefault="00576BD1">
      <w:pPr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погашение кредиторской задолженности МБУ «Центр здорового питания» – 13 500,0 тыс. рублей;</w:t>
      </w:r>
    </w:p>
    <w:p w:rsidR="00B14C2A" w:rsidRDefault="00576BD1">
      <w:pPr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реализацию социально-экономических и других мероприятий в соответствии с соглашениями (договорами) – 2 780,6 тыс. рублей. </w:t>
      </w:r>
      <w:r>
        <w:rPr>
          <w:sz w:val="28"/>
          <w:szCs w:val="28"/>
        </w:rPr>
        <w:t xml:space="preserve">По рассматриваемому направлению отмечается неисполнение расходов 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–</w:t>
      </w:r>
      <w:r>
        <w:rPr>
          <w:sz w:val="28"/>
          <w:szCs w:val="28"/>
        </w:rPr>
        <w:t xml:space="preserve"> отклонение от планового значения (4 500,0 тыс. рублей) составляет 1 719,4 тыс. рублей или 38,2%. Средства направлены в форме субсидии МБУ «ДК «РАДУГА», причиной неисполнения послужила невозможность заключения государственного контракта по итогам конкурса в связи с отсутствием претендентов (поставщиков, подрядчиков, исполнителей).</w:t>
      </w:r>
    </w:p>
    <w:p w:rsidR="00B14C2A" w:rsidRDefault="00576BD1">
      <w:pPr>
        <w:widowControl w:val="0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17.6 </w:t>
      </w:r>
      <w:r>
        <w:rPr>
          <w:sz w:val="28"/>
          <w:szCs w:val="28"/>
          <w:lang w:eastAsia="en-US"/>
        </w:rPr>
        <w:t xml:space="preserve">Первоначально </w:t>
      </w:r>
      <w:r>
        <w:rPr>
          <w:sz w:val="28"/>
          <w:szCs w:val="28"/>
        </w:rPr>
        <w:t>пунктами 8 и 9 Решения о бюджете на 2024 год утверждены:</w:t>
      </w:r>
    </w:p>
    <w:p w:rsidR="00B14C2A" w:rsidRDefault="00576BD1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резервный фонд Администрации города Оренбурга в сумме 70 000,0 тыс. рублей;</w:t>
      </w:r>
    </w:p>
    <w:p w:rsidR="00B14C2A" w:rsidRDefault="00576BD1">
      <w:pPr>
        <w:widowControl w:val="0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резерв финансовых и материальных ресурсов для ликвидации чрезвычайных ситуаций на территории города Оренбурга в сумме 5 000,0 тыс. рублей.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Бюджетные ассигнования утверждены Финансовому управлению.</w:t>
      </w:r>
    </w:p>
    <w:p w:rsidR="00B14C2A" w:rsidRDefault="00576BD1">
      <w:pPr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течение года объем резервного фонда Администрации города Оренбурга не изменялся, объем резерва финансовых и материальных ресурсов для ликвидации чрезвычайных ситуаций на территории города Оренбурга увеличился на 22 720,6 тыс. рублей и составил 27 720,6 тыс. рублей.</w:t>
      </w:r>
    </w:p>
    <w:p w:rsidR="00B14C2A" w:rsidRDefault="00576BD1">
      <w:pPr>
        <w:pStyle w:val="af0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31.12.2023 из Резервного фонда в отчетном периоде семи главным распорядителям бюджетных средств выделены бюджетные ассигнования в общей сумме 65 376,6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или 93,4% от утвержденного объема.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Кассовое исполнение Резервного фонда в 2024 году составило </w:t>
      </w:r>
      <w:r>
        <w:rPr>
          <w:sz w:val="28"/>
          <w:szCs w:val="28"/>
          <w:lang w:eastAsia="en-US"/>
        </w:rPr>
        <w:t>65 376,6 тыс. рублей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или 100,0% от выделенной суммы.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ходе анализа использования бюджетных ассигнований резервного фонда установлено следующее.</w:t>
      </w:r>
    </w:p>
    <w:p w:rsidR="00B14C2A" w:rsidRDefault="00576BD1">
      <w:pPr>
        <w:pStyle w:val="af0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постановлений Администрации города Оренбурга от 10.01.2024 № 4-п, от 07.02.2024 № 190-п, от 20.02.2024 № 288-п выделены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ассигнования на оплату расходов по расчистке, погрузке и вывозу снега в целях повышения качества транспортно-эксплуатационного состояния автомобильных дорог общего пользования местного значения, расположенных на территориях Северного и Южного округов на сумму 11 192,1 тыс. рублей и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16 673,4 </w:t>
      </w:r>
      <w:r>
        <w:rPr>
          <w:rFonts w:ascii="Times New Roman" w:hAnsi="Times New Roman" w:cs="Times New Roman"/>
          <w:sz w:val="28"/>
          <w:szCs w:val="28"/>
        </w:rPr>
        <w:t>тыс. рублей соответственно.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Администрации города Оренбурга о выделении ассигнований из резервного фонда не содержат сведений о возникновении непредвиденных и внеплановых ситуаций, повлекших необходимость осуществления соответствующих расходов.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издания постановлений о выделении средств из резервного фонда, на территории муниципального образования «город Оренбург» действовал режим повышенной готовности в периоды: </w:t>
      </w:r>
    </w:p>
    <w:p w:rsidR="00B14C2A" w:rsidRDefault="00576BD1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10.01.2024 по 22.01.2024 года – в связи с угрозой установления минимальной температуры воздуха и предупреждением чрезвычайных ситуаций в период религиозного праздника «Крещение Господне»;</w:t>
      </w:r>
    </w:p>
    <w:p w:rsidR="00B14C2A" w:rsidRDefault="00576BD1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07.02.2024 по 22.02.2024 года – в целях организации бесперебойной работы объектов экономики, снижения ущерба и потерь от возможных чрезвычайных ситуаций, связанных с опасными метеорологическими явлениями (очень сильным ветром с порывами 25-28 м/с, сильным снегопадом, сильной метелью, вызывающей заносы на дорогах). </w:t>
      </w:r>
    </w:p>
    <w:p w:rsidR="00B14C2A" w:rsidRDefault="00576BD1">
      <w:pPr>
        <w:pStyle w:val="af0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расходов по уборке и вывозу снега с территорий округов произведено подведомственными учреждениями МКУ «Комсервис»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МКУ «Благоустройство и озеленение» (далее – МКУ «БиОз»). О</w:t>
      </w:r>
      <w:r>
        <w:rPr>
          <w:rFonts w:ascii="Times New Roman" w:hAnsi="Times New Roman" w:cs="Times New Roman"/>
          <w:sz w:val="28"/>
          <w:szCs w:val="28"/>
        </w:rPr>
        <w:t>статок неиспользованных бюджетных ассигнований и лимитов бюджетных обязательств составил:</w:t>
      </w:r>
    </w:p>
    <w:p w:rsidR="00B14C2A" w:rsidRDefault="00576BD1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дату издания постановления от 10.01.2024 № 4-п «о выделении средств МКУ «Комсервис» резервного фонда в размере 3 500,0 тыс. рублей» – 5 500,0 тыс. рублей и «о выделении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МКУ «БиОз» </w:t>
      </w:r>
      <w:r>
        <w:rPr>
          <w:rFonts w:ascii="Times New Roman" w:hAnsi="Times New Roman" w:cs="Times New Roman"/>
          <w:sz w:val="28"/>
          <w:szCs w:val="28"/>
        </w:rPr>
        <w:t xml:space="preserve">средств резервного фонда в размере 5 000,0 тыс. рублей» – 9 000,0 тыс. рублей; </w:t>
      </w:r>
    </w:p>
    <w:p w:rsidR="00B14C2A" w:rsidRDefault="00576BD1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дату издания постановления от 07.02.2024 № 190-п «о выделении МКУ «Комсервис» средств резервного фонда в размере 4 000,0 тыс. рублей» – 11 565,5 тыс. рублей и «о выделении МКУ «БиОз» средств резервного фонда в размере 6 000,0 тыс. рублей» – 18 000,0 тыс. рублей;</w:t>
      </w:r>
    </w:p>
    <w:p w:rsidR="00B14C2A" w:rsidRDefault="00576BD1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дату издания постановления от 20.02.2024 № 288-п «о выделении МКУ «Комсервис» средств резервного фонда в размере 4 000,0 тыс. рублей» – 10 375,5 тыс. рублей и «о выделении средств резервного фонда в размере 6 000,0 тыс. рублей» – 15 510,9 тыс. рублей.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данные отражают достаточность остатка бюджетных ассигнований и лимитов бюджетных обязательств, для осуществления расходов по уборке и вывозу снега в рамках осуществления текущей деятельности учреждений. </w:t>
      </w:r>
    </w:p>
    <w:p w:rsidR="00B14C2A" w:rsidRDefault="00576BD1">
      <w:pPr>
        <w:pStyle w:val="af0"/>
        <w:widowControl w:val="0"/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Главы города Оренбурга от 26.04.2024 № 743-п, Управлению </w:t>
      </w:r>
      <w:bookmarkStart w:id="6" w:name="_Hlk193212209"/>
      <w:r>
        <w:rPr>
          <w:rFonts w:ascii="Times New Roman" w:hAnsi="Times New Roman" w:cs="Times New Roman"/>
          <w:sz w:val="28"/>
          <w:szCs w:val="28"/>
        </w:rPr>
        <w:t xml:space="preserve">по гражданской обороне из резервного фонда Администрации города Оренбурга </w:t>
      </w:r>
      <w:bookmarkEnd w:id="6"/>
      <w:r>
        <w:rPr>
          <w:rFonts w:ascii="Times New Roman" w:hAnsi="Times New Roman" w:cs="Times New Roman"/>
          <w:sz w:val="28"/>
          <w:szCs w:val="28"/>
        </w:rPr>
        <w:t xml:space="preserve">выделено 296,5 тыс. рублей на оплату расходов по изготовлению </w:t>
      </w:r>
      <w:bookmarkStart w:id="7" w:name="_Hlk193191361"/>
      <w:r>
        <w:rPr>
          <w:rFonts w:ascii="Times New Roman" w:hAnsi="Times New Roman" w:cs="Times New Roman"/>
          <w:sz w:val="28"/>
          <w:szCs w:val="28"/>
        </w:rPr>
        <w:t>полиграфической продукции (памяток, брошюр) для граждан, пострадавших в результате чрезвычайной ситуаций</w:t>
      </w:r>
      <w:bookmarkEnd w:id="7"/>
      <w:r>
        <w:rPr>
          <w:rFonts w:ascii="Times New Roman" w:hAnsi="Times New Roman" w:cs="Times New Roman"/>
          <w:sz w:val="28"/>
          <w:szCs w:val="28"/>
        </w:rPr>
        <w:t>. 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енежных обязательств, средства бюджета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направлены: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C2A" w:rsidRDefault="00576BD1">
      <w:pPr>
        <w:tabs>
          <w:tab w:val="left" w:pos="0"/>
          <w:tab w:val="left" w:pos="851"/>
          <w:tab w:val="left" w:pos="1134"/>
          <w:tab w:val="left" w:pos="368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Счетная палата обращает внимание на то, что приобретенные за счет средств, выделенных из резервного фонда Администрации города Оренбурга памятки в количестве 5,0 тыс. штук на сумму </w:t>
      </w:r>
      <w:bookmarkStart w:id="8" w:name="_Hlk193212399"/>
      <w:r>
        <w:rPr>
          <w:sz w:val="28"/>
          <w:szCs w:val="28"/>
          <w:shd w:val="clear" w:color="auto" w:fill="FFFFFF"/>
        </w:rPr>
        <w:t>296,5</w:t>
      </w:r>
      <w:bookmarkEnd w:id="8"/>
      <w:r>
        <w:rPr>
          <w:sz w:val="28"/>
          <w:szCs w:val="28"/>
          <w:shd w:val="clear" w:color="auto" w:fill="FFFFFF"/>
        </w:rPr>
        <w:t xml:space="preserve"> тыс. рублей не использованы по целевому назначению и по состоянию на 01.01.2025 отражены в остатке на балансе Управления по гражданской обороне.</w:t>
      </w:r>
    </w:p>
    <w:p w:rsidR="00B14C2A" w:rsidRDefault="00576BD1">
      <w:pPr>
        <w:widowControl w:val="0"/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Таким образом, в соответствии со статьей 34 Бюджетного кодекса РФ, расходы из средств резервного фонда Администрации города Оренбурга в сумме 296,5 тыс. рублей на приобретение не использованной по прямому назначению </w:t>
      </w:r>
      <w:r>
        <w:rPr>
          <w:bCs/>
          <w:iCs/>
          <w:sz w:val="28"/>
          <w:szCs w:val="28"/>
          <w:lang w:eastAsia="en-US"/>
        </w:rPr>
        <w:t>полиграфической продукции (памяток, брошюр) для граждан, пострадавших в результате чрезвычайной ситуации</w:t>
      </w:r>
      <w:r>
        <w:rPr>
          <w:sz w:val="28"/>
          <w:szCs w:val="28"/>
        </w:rPr>
        <w:t>, являются неэффективными.</w:t>
      </w:r>
    </w:p>
    <w:p w:rsidR="00B14C2A" w:rsidRDefault="00576BD1">
      <w:pPr>
        <w:pStyle w:val="af0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31.12.2024 из резерва финансовых и материальных ресурсов для ликвидации чрезвычайных ситуаций на территории города Оренбурга в отчетном периоде четырем главным распорядителям бюджетных средств выделены бюджетные ассигнования в общей сумме 27 616,3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или 99,6% от утвержденного объема.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Кассовое исполнение Резервного фонда в 2024 году составило 27 616,3</w:t>
      </w:r>
      <w:r>
        <w:rPr>
          <w:sz w:val="28"/>
          <w:szCs w:val="28"/>
          <w:lang w:eastAsia="en-US"/>
        </w:rPr>
        <w:t xml:space="preserve"> тыс. рублей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или 100,0% от выделенной суммы. Средства направлены на ликвидацию последствий прохождения весеннего паводка.</w:t>
      </w:r>
    </w:p>
    <w:p w:rsidR="00B14C2A" w:rsidRDefault="00576BD1">
      <w:pPr>
        <w:widowControl w:val="0"/>
        <w:ind w:left="0" w:firstLine="709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Счетная палата обращает внимание на то, что Положение о резерве финансовых и материальных ресурсов для ликвидации чрезвычайных ситуаций на территории города Оренбурга, утвержденное постановлением Главы города Оренбурга от 03.12.2007 № 7596-п, не содержит обязанности представления главными распорядителями, получившими бюджетные ассигнования указанного фонда, отчетов об их использовании с приложением подтверждающих документов и формы указанного отчета. </w:t>
      </w:r>
    </w:p>
    <w:p w:rsidR="00B14C2A" w:rsidRDefault="00576BD1">
      <w:pPr>
        <w:widowControl w:val="0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17.7. </w:t>
      </w:r>
      <w:r>
        <w:rPr>
          <w:sz w:val="28"/>
          <w:szCs w:val="28"/>
          <w:lang w:eastAsia="en-US"/>
        </w:rPr>
        <w:t xml:space="preserve">Решением о бюджете на 2024 год утверждены бюджетные ассигнования на исполнение судебных актов и мировых соглашений, иные выплаты по обязательствам муниципального образования «город Оренбург» 11-ти главным распорядителям бюджетных средств в общей сумме </w:t>
      </w:r>
      <w:r>
        <w:rPr>
          <w:sz w:val="28"/>
          <w:szCs w:val="28"/>
        </w:rPr>
        <w:t>312 063,3</w:t>
      </w:r>
      <w:r>
        <w:rPr>
          <w:sz w:val="28"/>
          <w:szCs w:val="28"/>
          <w:lang w:eastAsia="en-US"/>
        </w:rPr>
        <w:t xml:space="preserve"> тыс. рублей, сводной бюджетной росписью по состоянию на 31.12.2023 в сумме </w:t>
      </w:r>
      <w:r>
        <w:rPr>
          <w:sz w:val="28"/>
          <w:szCs w:val="28"/>
        </w:rPr>
        <w:t>312 653,3</w:t>
      </w:r>
      <w:r>
        <w:rPr>
          <w:sz w:val="28"/>
          <w:szCs w:val="28"/>
          <w:lang w:eastAsia="en-US"/>
        </w:rPr>
        <w:t xml:space="preserve"> тыс. рублей.</w:t>
      </w:r>
    </w:p>
    <w:p w:rsidR="00B14C2A" w:rsidRDefault="00576BD1">
      <w:pPr>
        <w:widowControl w:val="0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Кассовое исполнение указанных расходов составило </w:t>
      </w:r>
      <w:r>
        <w:rPr>
          <w:sz w:val="28"/>
          <w:szCs w:val="28"/>
        </w:rPr>
        <w:t>312 363,4</w:t>
      </w:r>
      <w:r>
        <w:rPr>
          <w:sz w:val="28"/>
          <w:szCs w:val="28"/>
          <w:lang w:eastAsia="en-US"/>
        </w:rPr>
        <w:t xml:space="preserve"> тыс. рублей, что составило 99,9% от утвержденного объема ассигнований. 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2023 годом (230 406,4 тыс. рублей) объем кассовых расходов на исполнение судебных актов и мировых соглашений, иные выплаты по обязательствам муниципального образования «город Оренбург» увеличился на 81 957,0 тыс. рублей или на 35,6%.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объем средств, утвержденный для исполнения судебных актов и мировых соглашений, иные выплаты по обязательствам муниципального образования «город Оренбург» направлен на: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возмещение убытков – </w:t>
      </w:r>
      <w:r>
        <w:rPr>
          <w:bCs/>
          <w:sz w:val="28"/>
          <w:szCs w:val="28"/>
        </w:rPr>
        <w:t>188 565,4</w:t>
      </w:r>
      <w:r>
        <w:rPr>
          <w:sz w:val="28"/>
          <w:szCs w:val="28"/>
        </w:rPr>
        <w:t xml:space="preserve"> тыс. рублей или 60,4% от всех расходов на исполнение судебных актов, в том числе </w:t>
      </w:r>
      <w:r>
        <w:rPr>
          <w:iCs/>
          <w:sz w:val="28"/>
          <w:szCs w:val="28"/>
        </w:rPr>
        <w:t xml:space="preserve">101 260,2 </w:t>
      </w:r>
      <w:r>
        <w:rPr>
          <w:sz w:val="28"/>
          <w:szCs w:val="28"/>
        </w:rPr>
        <w:t xml:space="preserve">тыс. рублей уплачено ДГиЗО в пользу лиц, участвующих в дорожно-транспортных происшествиях, причиной которых является неудовлетворительное состояние автомобильных дорог </w:t>
      </w:r>
      <w:r>
        <w:rPr>
          <w:sz w:val="28"/>
          <w:szCs w:val="28"/>
        </w:rPr>
        <w:lastRenderedPageBreak/>
        <w:t>муниципального образования «город Оренбург», а также 76 601,8 тыс. рублей уплачено ДИиЖО, в том числе (75 854,5 тыс. рублей)</w:t>
      </w:r>
      <w:r>
        <w:t xml:space="preserve"> </w:t>
      </w:r>
      <w:r>
        <w:rPr>
          <w:sz w:val="28"/>
          <w:szCs w:val="28"/>
        </w:rPr>
        <w:t xml:space="preserve">возврат излишне уплаченной в бюджет города Оренбурга арендной платы по решению Арбитражного суда Оренбургской области от 24.04.2023 по делу №А47-5245/2020 по иску ООО «Оренбург Водоканал». 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задолженности за выполненные работы – 29 230,3 тыс. рублей или 9,4% от всех расходов на исполнение судебных актов. Основной объем расходов произведен двумя ГРБС: ДГиЗО – 14 997,4 тыс. рублей и Администрацией Северного округа – 8 679,5 тыс. рублей;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выкупной стоимости изымаемого имущества – 56 845,0 тыс. рублей или 18,2% от всех расходов на исполнение судебных актов. Расходы произведены ДИиЖО;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административных штрафов в отчетном году – 7 674,0 тыс. рублей, что составило 2,5% от общего объема расходов на исполнение судебных актов. Основной объем расходов произведен тремя ГРБС: ДГиЗО – 3 048,0 тыс. рублей, Управлением образования – 1 105,0 тыс. рублей и Администрацией Южного округа – 1 516,0 тыс. рублей;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неосновательное обогащение – 17 737,8 тыс. рублей, что составило 5,7% от общего объема расходов на исполнение судебных актов. Объем расходов произведен двумя ГРБС: Администрацией Северного округа – 16 995,0 тыс. рублей и Комитетом потребительского рынка, услуг и развития предпринимательства – 742,8 тыс. рублей;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судебных расходов – 4 735,1 тыс. рублей или 1,5% от всех расходов на исполнение судебных актов. Наибольший объем расходов произведен ДИиЖО – 2 287,8 тыс. рублей и ДГиЗО – 1 037,9 тыс. рублей;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расходы за задолженность за поставку товара– 4 551,2 тыс. рублей или 1,5% от всех расходов на исполнение судебных актов. Расходы произведены Управлением по социальной политике.</w:t>
      </w:r>
    </w:p>
    <w:p w:rsidR="00B14C2A" w:rsidRDefault="00576BD1">
      <w:pPr>
        <w:widowControl w:val="0"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Менее 1,0% всех расходов на исполнение судебных актов направлено на: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уплату исполнительского сбора – 287,5 тыс. рублей или 0,1% от всех расходов на исполнение судебных актов. Расходы произведены АСО и УЖКХ;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морального вреда – 1 620,3 тыс. рублей или 0,5% от всех расходов на исполнение судебных актов. Расходы произведены АСО и Управлением образования;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уплату процентов за пользование чужими денежными средствами – 552,1 тыс. рублей или 0,2% от всех расходов на исполнение судебных актов. Расходы произведены ДГиЗО, ДИиЖО и КПРУиРП;</w:t>
      </w:r>
    </w:p>
    <w:p w:rsidR="00B14C2A" w:rsidRDefault="00576BD1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расходы, связанные с компенсацией за нарушение права на исполнение судебного акта – 564,7 тыс. рублей или 0,2% от всех расходов на исполнение судебных актов. Расходы произведены ДИиЖО.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расходов на исполнение судебных актов в отчетном периоде составляет 1,1% в общем объеме расходов городского бюджета и по сравнению с предшествующим периодом (1,0%) увеличилась на 0,1 процентных пункта.</w:t>
      </w:r>
    </w:p>
    <w:p w:rsidR="00B14C2A" w:rsidRDefault="00B14C2A">
      <w:pPr>
        <w:widowControl w:val="0"/>
        <w:tabs>
          <w:tab w:val="left" w:pos="0"/>
        </w:tabs>
        <w:ind w:left="0" w:firstLine="709"/>
        <w:contextualSpacing/>
        <w:jc w:val="both"/>
        <w:rPr>
          <w:b/>
          <w:sz w:val="12"/>
          <w:szCs w:val="12"/>
        </w:rPr>
      </w:pPr>
    </w:p>
    <w:p w:rsidR="00B14C2A" w:rsidRDefault="00576BD1">
      <w:pPr>
        <w:widowControl w:val="0"/>
        <w:tabs>
          <w:tab w:val="left" w:pos="142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18. </w:t>
      </w:r>
      <w:r>
        <w:rPr>
          <w:sz w:val="28"/>
          <w:szCs w:val="28"/>
        </w:rPr>
        <w:t>Согласно пункту 3 Решения о бюджете на начало отчетного периода утвержден общий объем бюджетных ассигнований, направляемых на исполнение публичных нормативных обязательств на 2024 год в сумме 146 253,7 тыс. рублей. В результате уточнения бюджета города Оренбурга объем бюджетных ассигнований, направляемых на исполнение публичных нормативных обязательств увеличился на 8 223,9 тыс. рублей или на 5,6% и составил 154 477,6 тыс. рублей.</w:t>
      </w:r>
    </w:p>
    <w:p w:rsidR="00B14C2A" w:rsidRDefault="00576BD1">
      <w:pPr>
        <w:widowControl w:val="0"/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направлении бюджетных ассигнований на исполнение публичных нормативных обязательств представлены в следующей таблице.</w:t>
      </w:r>
    </w:p>
    <w:p w:rsidR="00B14C2A" w:rsidRDefault="00576BD1">
      <w:pPr>
        <w:widowControl w:val="0"/>
        <w:tabs>
          <w:tab w:val="left" w:pos="709"/>
          <w:tab w:val="left" w:pos="1134"/>
        </w:tabs>
        <w:spacing w:before="120"/>
        <w:ind w:left="0" w:firstLine="709"/>
        <w:contextualSpacing/>
        <w:jc w:val="right"/>
        <w:rPr>
          <w:sz w:val="20"/>
          <w:szCs w:val="28"/>
        </w:rPr>
      </w:pPr>
      <w:r>
        <w:rPr>
          <w:sz w:val="20"/>
          <w:szCs w:val="28"/>
        </w:rPr>
        <w:t>(тыс. рублей)</w:t>
      </w:r>
    </w:p>
    <w:tbl>
      <w:tblPr>
        <w:tblW w:w="1021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386"/>
        <w:gridCol w:w="1418"/>
        <w:gridCol w:w="1276"/>
        <w:gridCol w:w="1134"/>
        <w:gridCol w:w="996"/>
      </w:tblGrid>
      <w:tr w:rsidR="00B14C2A">
        <w:trPr>
          <w:trHeight w:val="620"/>
        </w:trPr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ГРБС и публичного нормативного обязательства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первоначально</w:t>
            </w:r>
          </w:p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01.01.2024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на 31.12.2024</w:t>
            </w:r>
          </w:p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РОГС и СБР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2024 году</w:t>
            </w:r>
          </w:p>
        </w:tc>
      </w:tr>
      <w:tr w:rsidR="00B14C2A">
        <w:trPr>
          <w:trHeight w:val="700"/>
        </w:trPr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B14C2A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B14C2A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B14C2A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(гр. 4/гр.3)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Управление по социальной политике (038)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64 903,6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73 127,5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73 086,9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99,9</w:t>
            </w:r>
          </w:p>
        </w:tc>
      </w:tr>
      <w:tr w:rsidR="00B14C2A">
        <w:tc>
          <w:tcPr>
            <w:tcW w:w="10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«Социальная поддержка жителей города Оренбурга»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социальных выплат, компенсаций и материальной помощи отдельным категориям граждан,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64 903,5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73 127,5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73 086,9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Питание детей в общеобразовательных организациях, родители которых награждены муниципальной наградой – награжденных Муниципальной медалью «Материнство», муниципальными знаками «Материнство», «Отцовская Слава»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701,5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Ежегодная денежная помощь семьям военнослужащих (сотрудников), погибших при исполнении обязанностей военной службы (служебных обязанности)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  <w:highlight w:val="red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6 450,0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  <w:highlight w:val="red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6 450,0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Ежегодные денежные выплаты, приуроченные к празднованию Дня Победы в ВОВ, ветеранам подразделений особого риска к годовщине учений на Тоцком полигоне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1 758,5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1 671,0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Социальные гарантии лицам, награжденным муниципальными наградами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4 830,4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5 734,7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5 733,7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Пенсии за выслугу лет муниципальным служащим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48 182,6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54 480,2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54 480,2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Ежемесячная денежная выплата детям, до исполнения 18 лет, воинов, погибших, ставших инвалидами (в т.ч., в последствие умерших) в результате участия в боевых действиях на территории Афганистана, боевых действий по наведению конституционного порядка на территории Чеченской Республики и Республики Дагестан, выполнения специальных задач на территории Сирийской Арабской Республики, выполнения задач в ходе специальной военной операции на территориях Украины, Донецкой Народной Республики и Луганской Народной Республики, взамен льготного проезда в городском пассажирском транспорте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1 004,0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Исполнения договоров пожизненного содержания с иждивением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684,7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648,6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94,7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Организация и проведение акции «Визит вежливости»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Предоставление единовременных денежных выплат медицинским работникам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2 176,4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2 172,9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99,8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Управление образования (039)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81 350,1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bookmarkStart w:id="9" w:name="_Hlk196828600"/>
            <w:r>
              <w:rPr>
                <w:b/>
                <w:sz w:val="18"/>
                <w:szCs w:val="18"/>
              </w:rPr>
              <w:t>81 350,1</w:t>
            </w:r>
            <w:bookmarkEnd w:id="9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80 905,2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99,5</w:t>
            </w:r>
          </w:p>
        </w:tc>
      </w:tr>
      <w:tr w:rsidR="00B14C2A">
        <w:tc>
          <w:tcPr>
            <w:tcW w:w="10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«Доступное образование в городе Оренбурге»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69 645,5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70 356,0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70 282,7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11 704,6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10 994,1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10 622,5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96,6</w:t>
            </w:r>
          </w:p>
        </w:tc>
      </w:tr>
      <w:tr w:rsidR="00B14C2A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146 253,7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154 477,6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153 992,1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8"/>
              </w:rPr>
            </w:pPr>
            <w:bookmarkStart w:id="10" w:name="_Hlk196731306"/>
            <w:r>
              <w:rPr>
                <w:b/>
                <w:bCs/>
                <w:sz w:val="18"/>
                <w:szCs w:val="18"/>
              </w:rPr>
              <w:t>99,7</w:t>
            </w:r>
            <w:bookmarkEnd w:id="10"/>
          </w:p>
        </w:tc>
      </w:tr>
    </w:tbl>
    <w:p w:rsidR="00B14C2A" w:rsidRDefault="00B14C2A">
      <w:pPr>
        <w:tabs>
          <w:tab w:val="left" w:pos="142"/>
          <w:tab w:val="left" w:pos="709"/>
          <w:tab w:val="left" w:pos="1134"/>
        </w:tabs>
        <w:ind w:left="0" w:firstLine="709"/>
        <w:jc w:val="both"/>
        <w:rPr>
          <w:sz w:val="16"/>
          <w:szCs w:val="28"/>
        </w:rPr>
      </w:pPr>
    </w:p>
    <w:p w:rsidR="00B14C2A" w:rsidRDefault="00576BD1">
      <w:pPr>
        <w:tabs>
          <w:tab w:val="left" w:pos="142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бюджетных ассигнований на исполнение публичных нормативных обязательств в отчетном периоде составило 153 992,1 тыс. рублей или 99,7% от утвержденных бюджетных ассигнований.</w:t>
      </w:r>
    </w:p>
    <w:p w:rsidR="00B14C2A" w:rsidRDefault="00576BD1">
      <w:pPr>
        <w:tabs>
          <w:tab w:val="left" w:pos="142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Основной объем расходов произведен Управлением образования в сумме 80 905,2 тыс. рублей, что составило 52,5% от объема бюджетных ассигнований, утвержденных на исполнение публичных нормативных обязательств, и направлен на «Осуществление переданных полномочий по содержанию ребенка в семье опекуна» в сумме 70 282,7 тыс. рублей и на «Осуществление переданных полномочий по содержанию ребенка в приемной семье, а также выплате вознаграждения, причитающегося приемному родителю» в сумме 10 622,5 тыс. рублей.</w:t>
      </w:r>
    </w:p>
    <w:p w:rsidR="00B14C2A" w:rsidRDefault="00576BD1">
      <w:pPr>
        <w:tabs>
          <w:tab w:val="left" w:pos="142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по социальной политике расходы произведены на «Предоставление социальных выплат, компенсаций и материальной помощи отдельным категориям граждан» в сумме 73 086,9 тыс. рублей, что составило 47,5% от объема бюджетных ассигнований, утвержденных на исполнение публичных нормативных обязательств, и в основном направлены на «Пенсии за выслугу лет муниципальным служащим города Оренбурга» – 54 480,2 тыс. рублей.</w:t>
      </w:r>
    </w:p>
    <w:p w:rsidR="00B14C2A" w:rsidRDefault="00576BD1">
      <w:pPr>
        <w:widowControl w:val="0"/>
        <w:tabs>
          <w:tab w:val="left" w:pos="142"/>
          <w:tab w:val="left" w:pos="1134"/>
        </w:tabs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Весь объем бюджетных ассигнований, направленный на исполнение публичных нормативных обязательств, произведен по разделу 1000 «Социальная политика».</w:t>
      </w:r>
    </w:p>
    <w:p w:rsidR="00B14C2A" w:rsidRDefault="00B14C2A">
      <w:pPr>
        <w:widowControl w:val="0"/>
        <w:tabs>
          <w:tab w:val="left" w:pos="0"/>
        </w:tabs>
        <w:ind w:left="0" w:firstLine="709"/>
        <w:contextualSpacing/>
        <w:jc w:val="both"/>
        <w:rPr>
          <w:b/>
          <w:sz w:val="12"/>
          <w:szCs w:val="28"/>
        </w:rPr>
      </w:pPr>
    </w:p>
    <w:p w:rsidR="00B14C2A" w:rsidRDefault="00576BD1">
      <w:pPr>
        <w:widowControl w:val="0"/>
        <w:tabs>
          <w:tab w:val="left" w:pos="0"/>
        </w:tabs>
        <w:ind w:left="0" w:firstLine="709"/>
        <w:contextualSpacing/>
        <w:jc w:val="both"/>
        <w:rPr>
          <w:sz w:val="28"/>
          <w:szCs w:val="16"/>
          <w:lang w:eastAsia="en-US"/>
        </w:rPr>
      </w:pPr>
      <w:r>
        <w:rPr>
          <w:b/>
          <w:sz w:val="28"/>
          <w:szCs w:val="28"/>
        </w:rPr>
        <w:t xml:space="preserve">19. </w:t>
      </w:r>
      <w:r>
        <w:rPr>
          <w:sz w:val="28"/>
          <w:szCs w:val="16"/>
        </w:rPr>
        <w:t>Согласно пункту 20 Решения о бюджете на начало отчетного периода утвержден объем бюджетных ассигнований муниципального дорожного фонда муниципального образования «город Оренбург» (далее – Дорожный фонд) в сумме 5 928</w:t>
      </w:r>
      <w:r>
        <w:rPr>
          <w:sz w:val="28"/>
          <w:szCs w:val="16"/>
          <w:lang w:val="en-US"/>
        </w:rPr>
        <w:t> </w:t>
      </w:r>
      <w:r>
        <w:rPr>
          <w:sz w:val="28"/>
          <w:szCs w:val="16"/>
        </w:rPr>
        <w:t>228,9 тыс. рублей. В результате уточнения бюджета города Оренбурга Дорожный фонд увеличился на 530</w:t>
      </w:r>
      <w:r>
        <w:rPr>
          <w:sz w:val="28"/>
          <w:szCs w:val="16"/>
          <w:lang w:val="en-US"/>
        </w:rPr>
        <w:t> </w:t>
      </w:r>
      <w:r>
        <w:rPr>
          <w:sz w:val="28"/>
          <w:szCs w:val="16"/>
        </w:rPr>
        <w:t>543,4 тыс. рублей или на 8,9% и составил 6 458</w:t>
      </w:r>
      <w:r>
        <w:rPr>
          <w:sz w:val="28"/>
          <w:szCs w:val="16"/>
          <w:lang w:val="en-US"/>
        </w:rPr>
        <w:t> </w:t>
      </w:r>
      <w:r>
        <w:rPr>
          <w:sz w:val="28"/>
          <w:szCs w:val="16"/>
        </w:rPr>
        <w:t>772,3 тыс. рублей (в редакции РОГС от 24.12.2024 № 562).</w:t>
      </w:r>
    </w:p>
    <w:p w:rsidR="00B14C2A" w:rsidRDefault="00576BD1">
      <w:pPr>
        <w:widowControl w:val="0"/>
        <w:tabs>
          <w:tab w:val="left" w:pos="0"/>
        </w:tabs>
        <w:ind w:left="0" w:firstLine="709"/>
        <w:jc w:val="both"/>
        <w:rPr>
          <w:sz w:val="28"/>
          <w:szCs w:val="16"/>
          <w:lang w:eastAsia="en-US"/>
        </w:rPr>
      </w:pPr>
      <w:r>
        <w:rPr>
          <w:sz w:val="28"/>
          <w:szCs w:val="16"/>
        </w:rPr>
        <w:t>Общий объем поступлений по источникам формирования Дорожного фонда в 2024 году превысил плановый показатель на 1,1%. Сумма поступлений составила 6</w:t>
      </w:r>
      <w:r>
        <w:rPr>
          <w:sz w:val="28"/>
          <w:szCs w:val="16"/>
          <w:lang w:val="en-US"/>
        </w:rPr>
        <w:t> </w:t>
      </w:r>
      <w:r>
        <w:rPr>
          <w:sz w:val="28"/>
          <w:szCs w:val="16"/>
        </w:rPr>
        <w:t>531</w:t>
      </w:r>
      <w:r>
        <w:rPr>
          <w:sz w:val="28"/>
          <w:szCs w:val="16"/>
          <w:lang w:val="en-US"/>
        </w:rPr>
        <w:t> </w:t>
      </w:r>
      <w:r>
        <w:rPr>
          <w:sz w:val="28"/>
          <w:szCs w:val="16"/>
        </w:rPr>
        <w:t>024,7 тыс. рублей. В разрезе источников доходов, формирующих Дорожный фонд, исполнение сложилось следующим образом: по девяти источникам фактические поступления равны планируемым значениям, по пяти источникам перевыполнены планируемые к поступлению доходы на общую сумму 72 298,9 тыс. рублей и по двум источникам доходы поступили не в полном объеме, сумма не поступивших назначений составила 46,5 тыс. рублей.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</w:rPr>
      </w:pPr>
      <w:bookmarkStart w:id="11" w:name="_Toc70682336"/>
      <w:bookmarkStart w:id="12" w:name="_Toc70682276"/>
      <w:bookmarkStart w:id="13" w:name="_Toc70682201"/>
      <w:r>
        <w:rPr>
          <w:sz w:val="28"/>
          <w:szCs w:val="28"/>
        </w:rPr>
        <w:t xml:space="preserve">Основными источниками формирования Дорожного фонда в 2024 году являлись поступления в виде дотаций, субсидий и иных межбюджетных трансфертов на финансовое обеспечение дорожной деятельности в отношении автомобильных дорог общего пользования местного значения, которые поступили в сумме </w:t>
      </w:r>
      <w:r>
        <w:rPr>
          <w:bCs/>
          <w:sz w:val="28"/>
          <w:szCs w:val="28"/>
        </w:rPr>
        <w:t>5 047 217,4</w:t>
      </w:r>
      <w:r>
        <w:rPr>
          <w:sz w:val="28"/>
          <w:szCs w:val="28"/>
        </w:rPr>
        <w:t xml:space="preserve"> тыс. рублей, что составило 77,3% от общего объема Дорожного фонда.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налоговых и неналоговых доходов бюджета, предусмотренных действующим Порядком формирования и использования бюджетных ассигнований муниципального дорожного фонда муниципального образования «город Оренбург», в отчетном периоде сформировано 19,0% бюджетных ассигнований Дорожного фонда, что составило 1 238 735,6 тыс. рублей.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источников формирования Дорожного фонда 2024 года, учтен остаток бюджетных ассигнований дорожного фонда, неиспользованных в 2023 году в общей сумме 245 071,7 тыс. рублей, в том числе за счет средств городского </w:t>
      </w:r>
      <w:r>
        <w:rPr>
          <w:sz w:val="28"/>
          <w:szCs w:val="28"/>
        </w:rPr>
        <w:lastRenderedPageBreak/>
        <w:t>бюджета в сумме 35 481,0 тыс. рублей и средств областного бюджета в сумме 209 590,7 тыс. рублей.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Кассовое исполнение бюджетных ассигнований Дорожного фонда в отчетном периоде составило </w:t>
      </w:r>
      <w:r>
        <w:rPr>
          <w:sz w:val="28"/>
          <w:szCs w:val="16"/>
        </w:rPr>
        <w:t>6 203 899,8 тыс. рублей или 96,1%</w:t>
      </w:r>
      <w:r>
        <w:rPr>
          <w:sz w:val="28"/>
          <w:szCs w:val="28"/>
        </w:rPr>
        <w:t xml:space="preserve"> от утвержденных бюджетных ассигнований и 96,1% от доведенных лимитов бюджетных обязательств (6 455 045,9 тыс. рублей). По сравнению с показателем 2023 года (</w:t>
      </w:r>
      <w:r>
        <w:rPr>
          <w:bCs/>
          <w:sz w:val="28"/>
          <w:szCs w:val="28"/>
        </w:rPr>
        <w:t>3 701 118,6</w:t>
      </w:r>
      <w:r>
        <w:rPr>
          <w:b/>
          <w:bCs/>
          <w:sz w:val="18"/>
          <w:szCs w:val="18"/>
        </w:rPr>
        <w:t xml:space="preserve"> </w:t>
      </w:r>
      <w:r>
        <w:rPr>
          <w:sz w:val="28"/>
          <w:szCs w:val="28"/>
        </w:rPr>
        <w:t>тыс. рублей) кассовые расходы увеличились на 2 502 781,2 тыс. рублей или на 67,6%.</w:t>
      </w:r>
      <w:bookmarkEnd w:id="11"/>
      <w:bookmarkEnd w:id="12"/>
      <w:bookmarkEnd w:id="13"/>
    </w:p>
    <w:p w:rsidR="00B14C2A" w:rsidRDefault="00576BD1">
      <w:pPr>
        <w:widowControl w:val="0"/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Сумма неисполненных на конец отчетного периода бюджетных ассигнований Дорожного фонда составила </w:t>
      </w:r>
      <w:r>
        <w:rPr>
          <w:sz w:val="28"/>
          <w:szCs w:val="28"/>
        </w:rPr>
        <w:t>254 872,6</w:t>
      </w:r>
      <w:r>
        <w:rPr>
          <w:sz w:val="28"/>
          <w:szCs w:val="28"/>
          <w:lang w:eastAsia="en-US"/>
        </w:rPr>
        <w:t xml:space="preserve"> тыс. рублей.</w:t>
      </w:r>
    </w:p>
    <w:p w:rsidR="00B14C2A" w:rsidRDefault="00576BD1">
      <w:pPr>
        <w:widowControl w:val="0"/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Информация о направлениях расходования ассигнований Дорожного фонда 2024 года, согласно сведениям, представленным Финансовым управлением, отражена в следующей таблице.</w:t>
      </w:r>
    </w:p>
    <w:p w:rsidR="00B14C2A" w:rsidRDefault="00576BD1">
      <w:pPr>
        <w:ind w:left="0"/>
        <w:contextualSpacing/>
        <w:jc w:val="right"/>
      </w:pPr>
      <w:r>
        <w:rPr>
          <w:sz w:val="20"/>
          <w:szCs w:val="20"/>
        </w:rPr>
        <w:t>(тыс. 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843"/>
        <w:gridCol w:w="1418"/>
        <w:gridCol w:w="1558"/>
      </w:tblGrid>
      <w:tr w:rsidR="00B14C2A">
        <w:trPr>
          <w:trHeight w:val="2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Наименование направления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Утвержденные ассигнования Дорожного фонда (РОГС и СБР)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6"/>
              </w:rPr>
            </w:pPr>
            <w:r>
              <w:rPr>
                <w:bCs/>
                <w:sz w:val="18"/>
                <w:szCs w:val="16"/>
              </w:rPr>
              <w:t>Исполнено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Отклонение</w:t>
            </w:r>
          </w:p>
        </w:tc>
      </w:tr>
      <w:tr w:rsidR="00B14C2A">
        <w:trPr>
          <w:trHeight w:val="2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Проектирование, строительство, реконструкция автомобильных дорог общего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3 082 681,9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3 024 376,3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-58 305,6</w:t>
            </w:r>
          </w:p>
        </w:tc>
      </w:tr>
      <w:tr w:rsidR="00B14C2A">
        <w:trPr>
          <w:trHeight w:val="2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2 215 882,8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2 078 017,7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-137 865,1</w:t>
            </w:r>
          </w:p>
        </w:tc>
      </w:tr>
      <w:tr w:rsidR="00B14C2A">
        <w:trPr>
          <w:trHeight w:val="2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1 132 589,5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1 075 587,2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-57 002,3</w:t>
            </w:r>
          </w:p>
        </w:tc>
      </w:tr>
      <w:tr w:rsidR="00B14C2A">
        <w:trPr>
          <w:trHeight w:val="2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Капитальный ремонт, ремонт и благоустройство дворовых территорий, проездов к дворовым территориям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27 618,1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25 918,6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-1 699,5</w:t>
            </w:r>
          </w:p>
        </w:tc>
      </w:tr>
      <w:tr w:rsidR="00B14C2A">
        <w:trPr>
          <w:trHeight w:val="4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both"/>
              <w:rPr>
                <w:b/>
                <w:bCs/>
                <w:sz w:val="18"/>
                <w:szCs w:val="16"/>
              </w:rPr>
            </w:pPr>
            <w:r>
              <w:rPr>
                <w:b/>
                <w:bCs/>
                <w:sz w:val="18"/>
                <w:szCs w:val="16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6"/>
              </w:rPr>
            </w:pPr>
            <w:r>
              <w:rPr>
                <w:b/>
                <w:bCs/>
                <w:sz w:val="18"/>
                <w:szCs w:val="16"/>
              </w:rPr>
              <w:t>6 458 772,3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6"/>
              </w:rPr>
            </w:pPr>
            <w:r>
              <w:rPr>
                <w:b/>
                <w:bCs/>
                <w:sz w:val="18"/>
                <w:szCs w:val="16"/>
              </w:rPr>
              <w:t>6 203 899,8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B14C2A" w:rsidRDefault="00576BD1">
            <w:pPr>
              <w:widowControl w:val="0"/>
              <w:ind w:left="0"/>
              <w:jc w:val="right"/>
              <w:rPr>
                <w:b/>
                <w:bCs/>
                <w:sz w:val="18"/>
                <w:szCs w:val="16"/>
              </w:rPr>
            </w:pPr>
            <w:r>
              <w:rPr>
                <w:b/>
                <w:bCs/>
                <w:sz w:val="18"/>
                <w:szCs w:val="16"/>
              </w:rPr>
              <w:t>-254 872,5</w:t>
            </w:r>
          </w:p>
        </w:tc>
      </w:tr>
    </w:tbl>
    <w:p w:rsidR="00B14C2A" w:rsidRDefault="00B14C2A">
      <w:pPr>
        <w:ind w:left="0"/>
        <w:jc w:val="both"/>
        <w:rPr>
          <w:sz w:val="16"/>
          <w:szCs w:val="16"/>
        </w:rPr>
      </w:pPr>
    </w:p>
    <w:p w:rsidR="00B14C2A" w:rsidRDefault="00576BD1">
      <w:pPr>
        <w:widowControl w:val="0"/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20.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shd w:val="clear" w:color="auto" w:fill="FFFFFF"/>
          <w:lang w:eastAsia="en-US"/>
        </w:rPr>
        <w:t xml:space="preserve">Пунктом 24 Решения о бюджете (в редакции РОГС от 22.12.2023 № 438) утвержден объем бюджетных ассигнований на реализацию плана мероприятий, разработанного в соответствии с постановлением Правительства Российской Федерации от 02.08.2022 № 1370 «О порядке разработки и согласования плана мероприятий, указанных в пункте 1 статьи 16.6, пункте 1 статьи 75.1 и пункте 1 статьи 78.2 Федерального закона «Об охране окружающей среды», субъекта Российской Федерации» (далее – План мероприятий) на 2024 год в сумме </w:t>
      </w:r>
      <w:r>
        <w:rPr>
          <w:sz w:val="28"/>
          <w:szCs w:val="28"/>
          <w:shd w:val="clear" w:color="auto" w:fill="FFFFFF"/>
        </w:rPr>
        <w:t>119 773,8</w:t>
      </w:r>
      <w:r>
        <w:rPr>
          <w:sz w:val="28"/>
          <w:szCs w:val="28"/>
          <w:shd w:val="clear" w:color="auto" w:fill="FFFFFF"/>
          <w:lang w:eastAsia="en-US"/>
        </w:rPr>
        <w:t xml:space="preserve"> тыс. рублей. В состав указанных бюджетных ассигнований включен остаток неиспользованных бюджетных средств, подлежащих направлению на реализацию Плана мероприятий в 2023 году, который по состоянию на 01.01.2024 </w:t>
      </w:r>
      <w:r>
        <w:rPr>
          <w:sz w:val="28"/>
          <w:szCs w:val="28"/>
          <w:lang w:eastAsia="en-US"/>
        </w:rPr>
        <w:t xml:space="preserve">составил </w:t>
      </w:r>
      <w:r>
        <w:rPr>
          <w:sz w:val="28"/>
          <w:szCs w:val="28"/>
        </w:rPr>
        <w:t>64 186,0</w:t>
      </w:r>
      <w:r>
        <w:rPr>
          <w:sz w:val="28"/>
          <w:szCs w:val="28"/>
          <w:lang w:eastAsia="en-US"/>
        </w:rPr>
        <w:t xml:space="preserve"> тыс. рублей, и бюджетные ассигнования в сумме </w:t>
      </w:r>
      <w:r>
        <w:rPr>
          <w:sz w:val="28"/>
          <w:szCs w:val="28"/>
        </w:rPr>
        <w:t>34 091,6 тыс. рублей, запланированные к получению в 2024 году за счет источников, указанных в пункте 24 Решения о бюджете, и 21 496,2 тыс. рублей за счет иных источников доходов бюджета города Оренбурга</w:t>
      </w:r>
      <w:r>
        <w:rPr>
          <w:sz w:val="28"/>
          <w:szCs w:val="28"/>
          <w:lang w:eastAsia="en-US"/>
        </w:rPr>
        <w:t>.</w:t>
      </w:r>
    </w:p>
    <w:p w:rsidR="00B14C2A" w:rsidRDefault="00576BD1">
      <w:pPr>
        <w:widowControl w:val="0"/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За 2024 год сумма поступивших в доход бюджета города Оренбурга средств от </w:t>
      </w:r>
      <w:r>
        <w:rPr>
          <w:sz w:val="28"/>
          <w:szCs w:val="28"/>
          <w:shd w:val="clear" w:color="auto" w:fill="FFFFFF"/>
        </w:rPr>
        <w:t xml:space="preserve">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от платежей, </w:t>
      </w:r>
      <w:r>
        <w:rPr>
          <w:color w:val="000000" w:themeColor="text1"/>
          <w:sz w:val="28"/>
          <w:szCs w:val="28"/>
          <w:shd w:val="clear" w:color="auto" w:fill="FFFFFF"/>
        </w:rPr>
        <w:t>уплачиваемых при добровольном возмещении вреда, причиненного окружающей среде вследствие нарушений обязательных требований</w:t>
      </w:r>
      <w:r>
        <w:rPr>
          <w:color w:val="000000" w:themeColor="text1"/>
          <w:sz w:val="28"/>
          <w:szCs w:val="28"/>
        </w:rPr>
        <w:t xml:space="preserve">, составила 38 481,4 тыс. рублей, что на 4 389,8 тыс. рублей или на </w:t>
      </w:r>
      <w:r>
        <w:rPr>
          <w:bCs/>
          <w:color w:val="000000" w:themeColor="text1"/>
          <w:sz w:val="28"/>
          <w:szCs w:val="28"/>
        </w:rPr>
        <w:t>12,9</w:t>
      </w:r>
      <w:r>
        <w:rPr>
          <w:color w:val="000000" w:themeColor="text1"/>
          <w:sz w:val="28"/>
          <w:szCs w:val="28"/>
        </w:rPr>
        <w:t xml:space="preserve">% превышает </w:t>
      </w:r>
      <w:r>
        <w:rPr>
          <w:color w:val="000000" w:themeColor="text1"/>
          <w:sz w:val="28"/>
          <w:szCs w:val="28"/>
        </w:rPr>
        <w:lastRenderedPageBreak/>
        <w:t>объем плановых назначений (</w:t>
      </w:r>
      <w:r>
        <w:rPr>
          <w:bCs/>
          <w:color w:val="000000" w:themeColor="text1"/>
          <w:sz w:val="28"/>
          <w:szCs w:val="28"/>
        </w:rPr>
        <w:t xml:space="preserve">34 091,6 </w:t>
      </w:r>
      <w:r>
        <w:rPr>
          <w:color w:val="000000" w:themeColor="text1"/>
          <w:sz w:val="28"/>
          <w:szCs w:val="28"/>
        </w:rPr>
        <w:t>тыс. рублей).</w:t>
      </w:r>
    </w:p>
    <w:p w:rsidR="00B14C2A" w:rsidRDefault="00576BD1">
      <w:p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По состоянию на конец отчетного периода действовала редакция </w:t>
      </w:r>
      <w:r>
        <w:rPr>
          <w:sz w:val="28"/>
          <w:szCs w:val="28"/>
        </w:rPr>
        <w:t>Плана мероприятий, утвержденная исполняющим обязанности министра природных ресурсов, экологии и имущественных отношений Оренбургской области 24.12.2024, которая предусматривала реализацию мероприятий в 2024-2026 годах.</w:t>
      </w:r>
    </w:p>
    <w:p w:rsidR="00B14C2A" w:rsidRDefault="00576BD1">
      <w:p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Планом мероприятий утвержден на 2024 год план расходов в сумме 119 773,8 тыс. рублей и план доходов в сумме 34 091,6 тыс. рублей.  Кроме этого, расходы, утвержденные Планом мероприятий, обеспечиваются остатком платежей за негативное воздействие на окружающую среду и средствами от платежей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 возмещении вреда, причиненного окружающей среде вследствие нарушений обязательных требований, сформированным на 01.01.2024 года в размере 64 186,0 тыс. рублей и иных источников доходов бюджета города Оренбурга в размере 21 496,2 тыс. рублей.</w:t>
      </w:r>
    </w:p>
    <w:p w:rsidR="00B14C2A" w:rsidRDefault="00576BD1">
      <w:pPr>
        <w:widowControl w:val="0"/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Согласно предоставленному Финансовым управлением Плану мероприятий и Отчету о его выполнении реализованы следующие мероприятия: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Autospacing="0" w:afterAutospacing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рекультивация (ликвидация) несанкционированных мест размещения отходов в селах (с. Краснохолм, пос. Самородово) - фактический объем расходов 857,8 тыс. рублей (средства городского бюджета 17,2 тыс. рублей), что соответствует объему, утвержденному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Autospacing="0" w:afterAutospacing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рекультивация (ликвидация) несанкционированных мест размещения отходов в селах (пос. Бердянка, с. Городище) - фактический объем расходов 5 907,4 тыс. рублей (средства городского бюджета 118,1 тыс. рублей), что на 28,7 тыс. рублей меньше чем утверждено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Autospacing="0" w:afterAutospacing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посадка и содержание зеленых насаждений для улучшения качества атмосферного воздуха - фактический объем расходов 29 221,8 тыс. рублей (средства городского бюджета), что на 829,1 тыс. рублей меньше чем утверждено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after="100"/>
        <w:ind w:left="0" w:firstLine="709"/>
        <w:contextualSpacing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специализированной техники и инвентаря в целях оснащения пункта пожаротушения для защиты леса - фактический объем расходов 131,6 тыс. рублей (средства городского бюджета), что соответствует объему, утвержденному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="100" w:after="10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специализированной техники для проведения мероприятий по защите и воспроизводству лесов - фактический объем расходов 7 288,9 тыс. рублей (средства городского бюджета), что соответствует объему, утвержденному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="100" w:after="10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экологическое обследование леса с целью его сохранения - фактический объем расходов 385,9 тыс. рублей (средства городского бюджета), что соответствует объему, утвержденному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="100" w:after="10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 санитарной безопасности леса и ликвидация очагов вредных организмов - фактический объем расходов 413,6 тыс. рублей (средства городского бюджета), что соответствует объему, утвержденному Планом мероприятий;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Autospacing="0" w:afterAutospacing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разработка проектной документации на рекультивацию (ликвидацию) несанкционированных мест размещения отходов в границах Южного округа г. Оренбурга (пос. Авиагородок) – при запланированном объеме бюджетных ассигнований в сумме 9 782,3 тыс. рублей, расходы на выполнение данного мероприятия не осуществлялись;</w:t>
      </w:r>
    </w:p>
    <w:p w:rsidR="00B14C2A" w:rsidRDefault="00576BD1">
      <w:pPr>
        <w:pStyle w:val="s1"/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spacing w:beforeAutospacing="0" w:afterAutospacing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ликвидация навалов мусора на территории города Оренбурга с целью снижения негативного воздействия на окружающую среду - фактический объем расходов 68 937,6 тыс. рублей (средства городского бюджета), что на 2 647,1 тыс. рублей меньше чем утверждено Планом мероприятий.</w:t>
      </w:r>
    </w:p>
    <w:p w:rsidR="00B14C2A" w:rsidRDefault="00576BD1">
      <w:pPr>
        <w:pStyle w:val="s1"/>
        <w:widowControl w:val="0"/>
        <w:shd w:val="clear" w:color="auto" w:fill="FFFFFF"/>
        <w:tabs>
          <w:tab w:val="left" w:pos="1134"/>
        </w:tabs>
        <w:spacing w:beforeAutospacing="0" w:afterAutospacing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бюджетных ассигнований, утвержденный СБР по состоянию на 31.12.2024, составил 126 431,8 тыс. рублей, в том числе за счет средств городского бюджета - 119 773,8 тыс. рублей, межбюджетных трансфертов - 6 658,0 тыс. рублей.</w:t>
      </w:r>
    </w:p>
    <w:p w:rsidR="00B14C2A" w:rsidRDefault="00576BD1">
      <w:pPr>
        <w:pStyle w:val="s1"/>
        <w:shd w:val="clear" w:color="auto" w:fill="FFFFFF"/>
        <w:tabs>
          <w:tab w:val="left" w:pos="1134"/>
        </w:tabs>
        <w:spacing w:beforeAutospacing="0" w:afterAutospacing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Кассовые расходы на реализацию Плана мероприятий в 2024 году составили 113 144,6 тыс. рублей (89,5% от утвержденного объема бюджетных ассигнований), в том числе за счет средств городского бюджета - 106 514,7 тыс. рублей, межбюджетных трансфертов - 6 629,9 тыс. рублей.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Счетная палата обращает внимание на то, что согласно пункту 1.4 Порядка № 1083-п в состав муниципальных программ в соответствии со сферами их реализации подлежат включению направления деятельности отраслевых (функциональных) и территориальных органов Администрации города Оренбурга, муниципальных учреждений.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 реализации Плана мероприятий направлены на достижение цели муниципальной программы «Охрана окружающей среды в границах муниципального образования «город Оренбург», а именно на улучшение экологии муниципального образования «город Оренбург». Расходы на исполнение Плана мероприятий в полном объеме соответствуют цели муниципальной программы </w:t>
      </w:r>
      <w:r>
        <w:rPr>
          <w:color w:val="000000"/>
          <w:sz w:val="28"/>
          <w:szCs w:val="28"/>
        </w:rPr>
        <w:t>«Охрана окружающей среды в границах муниципального образования «город Оренбург».</w:t>
      </w:r>
    </w:p>
    <w:p w:rsidR="00B14C2A" w:rsidRDefault="00576BD1">
      <w:p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финансирование расходов на реализацию Плана мероприятий за счет бюджетных ассигнований, утвержденных на реализацию </w:t>
      </w:r>
      <w:r>
        <w:rPr>
          <w:rFonts w:eastAsia="MS Mincho"/>
          <w:sz w:val="28"/>
          <w:szCs w:val="28"/>
          <w:shd w:val="clear" w:color="auto" w:fill="FFFFFF"/>
        </w:rPr>
        <w:t>муниципальных программ «Комплексное благоустройство и повышение качества жизни населения на территории Северного округа города Оренбурга» и «Комплексное благоустройство территории Южного округа города Оренбурга» противоречит требованиям Порядка № 1083-п.</w:t>
      </w:r>
    </w:p>
    <w:p w:rsidR="00B14C2A" w:rsidRDefault="00B14C2A">
      <w:pPr>
        <w:widowControl w:val="0"/>
        <w:shd w:val="clear" w:color="auto" w:fill="FFFFFF"/>
        <w:ind w:left="0" w:firstLine="709"/>
        <w:contextualSpacing/>
        <w:jc w:val="both"/>
        <w:rPr>
          <w:sz w:val="12"/>
          <w:szCs w:val="12"/>
          <w:shd w:val="clear" w:color="auto" w:fill="FFFFFF"/>
        </w:rPr>
      </w:pPr>
    </w:p>
    <w:p w:rsidR="00B14C2A" w:rsidRDefault="00576BD1">
      <w:pPr>
        <w:widowControl w:val="0"/>
        <w:ind w:left="0" w:firstLine="720"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20. </w:t>
      </w:r>
      <w:r>
        <w:rPr>
          <w:sz w:val="28"/>
          <w:szCs w:val="28"/>
          <w:lang w:eastAsia="en-US"/>
        </w:rPr>
        <w:t xml:space="preserve">Решением о бюджете первоначально утвержден бюджет города Оренбурга на 2024 год без дефицита. </w:t>
      </w:r>
      <w:r>
        <w:rPr>
          <w:sz w:val="28"/>
          <w:szCs w:val="28"/>
        </w:rPr>
        <w:t>В ходе исполнения бюджета размер дефицита дважды изменялся и в действующей на 31.12.2024 года редакции РОГС от 24.12.2024 № 562 утвержден в сумме 866 089,9 тыс. рублей, из них снижение остатков средств на счетах по учету средств местного бюджета в сумме 924 639,9 тыс. рублей. Размер утвержденного дефицита соответствовал требованиям, установленным для местного бюджета абзацем 1 и 3 пункта 3 статьи 92.1 Бюджетного кодекса РФ.</w:t>
      </w:r>
    </w:p>
    <w:p w:rsidR="00B14C2A" w:rsidRDefault="00576BD1">
      <w:pPr>
        <w:widowControl w:val="0"/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соответствии с представленным отчетом кассовое исполнение бюджета города Оренбурга в 2024 году сложилось с профицитом, размер которого составил </w:t>
      </w:r>
      <w:r>
        <w:rPr>
          <w:bCs/>
          <w:sz w:val="28"/>
          <w:szCs w:val="28"/>
        </w:rPr>
        <w:t>285 599,1</w:t>
      </w:r>
      <w:r>
        <w:rPr>
          <w:bCs/>
          <w:sz w:val="28"/>
          <w:szCs w:val="28"/>
          <w:lang w:eastAsia="en-US"/>
        </w:rPr>
        <w:t xml:space="preserve"> тыс. рублей</w:t>
      </w:r>
      <w:r>
        <w:rPr>
          <w:sz w:val="28"/>
          <w:szCs w:val="28"/>
          <w:lang w:eastAsia="en-US"/>
        </w:rPr>
        <w:t xml:space="preserve">. Основным источником образования </w:t>
      </w:r>
      <w:r>
        <w:rPr>
          <w:sz w:val="28"/>
          <w:szCs w:val="28"/>
        </w:rPr>
        <w:t xml:space="preserve">профицита бюджета </w:t>
      </w:r>
      <w:r>
        <w:rPr>
          <w:sz w:val="28"/>
          <w:szCs w:val="28"/>
        </w:rPr>
        <w:lastRenderedPageBreak/>
        <w:t>являлось увеличение остатков средств на счетах бюджета за счет превышения объема поступлений средств над объемами выбытий средств со счетов бюджета на общую сумму 251 333,3 тыс. рублей, что в первую очередь обусловлено неисполнением в полном объеме утвержденных бюджетных ассигнований по расходам (исполнение составило 96,6%).</w:t>
      </w:r>
    </w:p>
    <w:p w:rsidR="00B14C2A" w:rsidRDefault="00B14C2A">
      <w:pPr>
        <w:widowControl w:val="0"/>
        <w:ind w:left="0" w:firstLine="720"/>
        <w:jc w:val="both"/>
        <w:rPr>
          <w:sz w:val="12"/>
          <w:szCs w:val="12"/>
          <w:lang w:eastAsia="en-US"/>
        </w:rPr>
      </w:pPr>
    </w:p>
    <w:p w:rsidR="00B14C2A" w:rsidRDefault="00576BD1">
      <w:pPr>
        <w:widowControl w:val="0"/>
        <w:ind w:left="0" w:firstLine="72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21.</w:t>
      </w:r>
      <w:r>
        <w:rPr>
          <w:sz w:val="28"/>
          <w:szCs w:val="28"/>
          <w:lang w:eastAsia="en-US"/>
        </w:rPr>
        <w:t xml:space="preserve"> Согласно годовой бюджетной отчетности на едином счете бюджета образовались остатки в размерах, отраженных в следующей таблице. </w:t>
      </w:r>
    </w:p>
    <w:p w:rsidR="00B14C2A" w:rsidRDefault="00576BD1">
      <w:pPr>
        <w:ind w:left="0" w:firstLine="720"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(тыс. рублей)</w:t>
      </w:r>
    </w:p>
    <w:tbl>
      <w:tblPr>
        <w:tblW w:w="10141" w:type="dxa"/>
        <w:jc w:val="center"/>
        <w:tblLayout w:type="fixed"/>
        <w:tblLook w:val="04A0" w:firstRow="1" w:lastRow="0" w:firstColumn="1" w:lastColumn="0" w:noHBand="0" w:noVBand="1"/>
      </w:tblPr>
      <w:tblGrid>
        <w:gridCol w:w="6027"/>
        <w:gridCol w:w="1138"/>
        <w:gridCol w:w="1135"/>
        <w:gridCol w:w="1134"/>
        <w:gridCol w:w="707"/>
      </w:tblGrid>
      <w:tr w:rsidR="00B14C2A">
        <w:trPr>
          <w:trHeight w:val="109"/>
          <w:jc w:val="center"/>
        </w:trPr>
        <w:tc>
          <w:tcPr>
            <w:tcW w:w="6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  <w:r>
              <w:rPr>
                <w:bCs/>
                <w:sz w:val="18"/>
                <w:szCs w:val="20"/>
                <w:lang w:eastAsia="en-US"/>
              </w:rPr>
              <w:t>Наименование источника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  <w:r>
              <w:rPr>
                <w:bCs/>
                <w:sz w:val="18"/>
                <w:szCs w:val="20"/>
                <w:lang w:eastAsia="en-US"/>
              </w:rPr>
              <w:t>Остатки на 01.01.2024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  <w:r>
              <w:rPr>
                <w:bCs/>
                <w:sz w:val="18"/>
                <w:szCs w:val="20"/>
                <w:lang w:eastAsia="en-US"/>
              </w:rPr>
              <w:t>Остатки на 01.01.2025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  <w:r>
              <w:rPr>
                <w:bCs/>
                <w:sz w:val="18"/>
                <w:szCs w:val="20"/>
                <w:lang w:eastAsia="en-US"/>
              </w:rPr>
              <w:t>Изменение остатков</w:t>
            </w:r>
          </w:p>
        </w:tc>
      </w:tr>
      <w:tr w:rsidR="00B14C2A">
        <w:trPr>
          <w:trHeight w:val="109"/>
          <w:jc w:val="center"/>
        </w:trPr>
        <w:tc>
          <w:tcPr>
            <w:tcW w:w="6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B14C2A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B14C2A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B14C2A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  <w:r>
              <w:rPr>
                <w:bCs/>
                <w:sz w:val="18"/>
                <w:szCs w:val="20"/>
                <w:lang w:eastAsia="en-US"/>
              </w:rPr>
              <w:t>сумма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B14C2A" w:rsidRDefault="00576BD1">
            <w:pPr>
              <w:widowControl w:val="0"/>
              <w:spacing w:line="276" w:lineRule="auto"/>
              <w:ind w:left="0"/>
              <w:jc w:val="center"/>
              <w:rPr>
                <w:bCs/>
                <w:sz w:val="18"/>
                <w:szCs w:val="20"/>
                <w:lang w:eastAsia="en-US"/>
              </w:rPr>
            </w:pPr>
            <w:r>
              <w:rPr>
                <w:bCs/>
                <w:sz w:val="18"/>
                <w:szCs w:val="20"/>
                <w:lang w:eastAsia="en-US"/>
              </w:rPr>
              <w:t>%</w:t>
            </w:r>
          </w:p>
        </w:tc>
      </w:tr>
      <w:tr w:rsidR="00B14C2A">
        <w:trPr>
          <w:trHeight w:val="20"/>
          <w:jc w:val="center"/>
        </w:trPr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both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Средства межбюджетных трансфертов из федерального и областного бюджетов, имеющих целевое назначение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0,0</w:t>
            </w:r>
          </w:p>
        </w:tc>
      </w:tr>
      <w:tr w:rsidR="00B14C2A">
        <w:trPr>
          <w:trHeight w:val="20"/>
          <w:jc w:val="center"/>
        </w:trPr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both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Средства местного бюджета (в том числе дотации)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925 047,7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1 176 381,1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+251 333,3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sz w:val="18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+27,2</w:t>
            </w:r>
          </w:p>
        </w:tc>
      </w:tr>
      <w:tr w:rsidR="00B14C2A">
        <w:trPr>
          <w:trHeight w:val="20"/>
          <w:jc w:val="center"/>
        </w:trPr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rPr>
                <w:b/>
                <w:bCs/>
                <w:sz w:val="18"/>
                <w:szCs w:val="20"/>
                <w:lang w:eastAsia="en-US"/>
              </w:rPr>
            </w:pPr>
            <w:r>
              <w:rPr>
                <w:b/>
                <w:bCs/>
                <w:sz w:val="18"/>
                <w:szCs w:val="20"/>
                <w:lang w:eastAsia="en-US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b/>
                <w:bCs/>
                <w:sz w:val="18"/>
                <w:szCs w:val="20"/>
                <w:lang w:eastAsia="en-US"/>
              </w:rPr>
            </w:pPr>
            <w:r>
              <w:rPr>
                <w:b/>
                <w:sz w:val="18"/>
                <w:szCs w:val="20"/>
                <w:lang w:eastAsia="en-US"/>
              </w:rPr>
              <w:t>925 047,7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b/>
                <w:bCs/>
                <w:sz w:val="18"/>
                <w:szCs w:val="20"/>
                <w:lang w:eastAsia="en-US"/>
              </w:rPr>
            </w:pPr>
            <w:r>
              <w:rPr>
                <w:b/>
                <w:sz w:val="18"/>
                <w:szCs w:val="20"/>
                <w:lang w:eastAsia="en-US"/>
              </w:rPr>
              <w:t>1 176 381,1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b/>
                <w:sz w:val="18"/>
                <w:szCs w:val="20"/>
                <w:lang w:eastAsia="en-US"/>
              </w:rPr>
            </w:pPr>
            <w:r>
              <w:rPr>
                <w:b/>
                <w:bCs/>
                <w:sz w:val="18"/>
                <w:szCs w:val="20"/>
                <w:lang w:eastAsia="en-US"/>
              </w:rPr>
              <w:t>+251 333,3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B14C2A" w:rsidRDefault="00576BD1">
            <w:pPr>
              <w:widowControl w:val="0"/>
              <w:spacing w:line="276" w:lineRule="auto"/>
              <w:ind w:left="0"/>
              <w:jc w:val="right"/>
              <w:rPr>
                <w:b/>
                <w:bCs/>
                <w:sz w:val="18"/>
                <w:szCs w:val="20"/>
                <w:lang w:eastAsia="en-US"/>
              </w:rPr>
            </w:pPr>
            <w:r>
              <w:rPr>
                <w:b/>
                <w:bCs/>
                <w:sz w:val="18"/>
                <w:szCs w:val="20"/>
                <w:lang w:eastAsia="en-US"/>
              </w:rPr>
              <w:t>+27,2</w:t>
            </w:r>
          </w:p>
        </w:tc>
      </w:tr>
    </w:tbl>
    <w:p w:rsidR="00B14C2A" w:rsidRDefault="00B14C2A">
      <w:pPr>
        <w:ind w:left="0" w:firstLine="720"/>
        <w:jc w:val="right"/>
        <w:rPr>
          <w:sz w:val="20"/>
          <w:szCs w:val="20"/>
          <w:lang w:eastAsia="en-US"/>
        </w:rPr>
      </w:pP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главными администраторами источников финансирования дефицита бюджета являлись:</w:t>
      </w:r>
    </w:p>
    <w:p w:rsidR="00B14C2A" w:rsidRDefault="00576BD1">
      <w:pPr>
        <w:pStyle w:val="af0"/>
        <w:widowControl w:val="0"/>
        <w:numPr>
          <w:ilvl w:val="0"/>
          <w:numId w:val="7"/>
        </w:numPr>
        <w:tabs>
          <w:tab w:val="left" w:pos="0"/>
          <w:tab w:val="left" w:pos="1134"/>
        </w:tabs>
        <w:spacing w:after="12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- операции по погашению бюджетных кредитов в размере 77 750,0 тыс. рублей или 100,0 от утвержденных бюджетных назначений;</w:t>
      </w:r>
    </w:p>
    <w:p w:rsidR="00B14C2A" w:rsidRDefault="00576BD1">
      <w:pPr>
        <w:pStyle w:val="af0"/>
        <w:widowControl w:val="0"/>
        <w:numPr>
          <w:ilvl w:val="0"/>
          <w:numId w:val="7"/>
        </w:numPr>
        <w:tabs>
          <w:tab w:val="left" w:pos="0"/>
          <w:tab w:val="left" w:pos="1134"/>
        </w:tabs>
        <w:spacing w:after="12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ДИиЖО – операции поступлению средств от продажи акций и иных форм участия в капитале, находящихся в собственности городских округов – 39 484,2 тыс. рублей или 100,7% от утвержденных бюджетных назначений (39 200,0 тыс. рублей), в том числе:</w:t>
      </w:r>
    </w:p>
    <w:p w:rsidR="00B14C2A" w:rsidRDefault="00576BD1">
      <w:pPr>
        <w:pStyle w:val="af0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39 200,0 тыс. рублей – доход от приватизации 16 954 обыкновенных именных бездокументарных акций АО «Оренбургская финансово-информационная система «Город»;</w:t>
      </w:r>
    </w:p>
    <w:p w:rsidR="00B14C2A" w:rsidRDefault="00576BD1">
      <w:pPr>
        <w:pStyle w:val="af0"/>
        <w:numPr>
          <w:ilvl w:val="0"/>
          <w:numId w:val="19"/>
        </w:numPr>
        <w:tabs>
          <w:tab w:val="left" w:pos="1134"/>
        </w:tabs>
        <w:ind w:left="0" w:right="-2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284,2 тыс. рублей</w:t>
      </w:r>
      <w:r>
        <w:rPr>
          <w:rFonts w:ascii="Times New Roman" w:hAnsi="Times New Roman" w:cs="Times New Roman"/>
          <w:sz w:val="28"/>
          <w:szCs w:val="28"/>
        </w:rPr>
        <w:t xml:space="preserve"> – поступления от доли в уставном капитале МУП «МИФ» в связи с ликвидацией предприятия.</w:t>
      </w:r>
    </w:p>
    <w:p w:rsidR="00B14C2A" w:rsidRDefault="00B14C2A">
      <w:pPr>
        <w:widowControl w:val="0"/>
        <w:ind w:left="0" w:firstLine="720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widowControl w:val="0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22. </w:t>
      </w:r>
      <w:r>
        <w:rPr>
          <w:sz w:val="28"/>
          <w:szCs w:val="28"/>
          <w:lang w:eastAsia="en-US"/>
        </w:rPr>
        <w:t xml:space="preserve">Пунктом </w:t>
      </w:r>
      <w:r>
        <w:rPr>
          <w:sz w:val="28"/>
          <w:szCs w:val="28"/>
        </w:rPr>
        <w:t>15 Решения о бюджете в редакции РОГС от 24.12.2024 № 562 установлен верхний предел муниципального долга города Оренбурга на 01.01.2025 в сумме 269 000,0 тыс. рублей, в том числе верхний предел долга по муниципальным гарантиям в сумме 0 рублей.</w:t>
      </w:r>
    </w:p>
    <w:p w:rsidR="00B14C2A" w:rsidRDefault="00576BD1">
      <w:pPr>
        <w:widowControl w:val="0"/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бюджетной отчетности Финансового управления и годовой бюджетной отчетности об исполнении бюджета города Оренбурга за 2024 год, по состоянию на 01.01.2025 размер муниципального долга составил 269 000,0 тыс. рублей, что соответствует утвержденному пределу. В соответствии с муниципальной долговой книгой муниципального образования «город Оренбург» (далее – Муниципальная долговая книга) в разрезе видов долговых обязательств в муниципальный долг по состоянию на 01.01.2025 включены обязательства, которые в полном объеме составляют обязательства по бюджетным кредитам, привлеченным от других бюджетов бюджетной системы РФ, а именно:</w:t>
      </w:r>
    </w:p>
    <w:p w:rsidR="00B14C2A" w:rsidRDefault="00576BD1">
      <w:pPr>
        <w:pStyle w:val="af0"/>
        <w:widowControl w:val="0"/>
        <w:numPr>
          <w:ilvl w:val="0"/>
          <w:numId w:val="7"/>
        </w:numPr>
        <w:tabs>
          <w:tab w:val="left" w:pos="0"/>
          <w:tab w:val="left" w:pos="1134"/>
        </w:tabs>
        <w:spacing w:after="120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задолженность по Соглашению с Министерством финансов Оренбургской области № 3 от 29.11.2018 «О предоставлении бюджетного кредита муниципальному образованию «город Оренбург» для частичного покрытия дефицита местного бюджета» в сумме 44 000,0 тыс. рублей, срок погашения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задолженности – 01.12.2029;</w:t>
      </w:r>
    </w:p>
    <w:p w:rsidR="00B14C2A" w:rsidRDefault="00576BD1">
      <w:pPr>
        <w:pStyle w:val="af0"/>
        <w:widowControl w:val="0"/>
        <w:numPr>
          <w:ilvl w:val="0"/>
          <w:numId w:val="7"/>
        </w:numPr>
        <w:tabs>
          <w:tab w:val="left" w:pos="0"/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задолженность по Соглашению с Министерством финансов Оренбургской области № 1 от 22.07.2022 «О предоставлении бюджету города Оренбурга бюджетного кредита из областного бюджета для погашения долговых обязательств муниципального образования» в сумме 225 000,0 тыс. рублей, срок погашения задолженности – 15.07.2027.</w:t>
      </w:r>
    </w:p>
    <w:p w:rsidR="00B14C2A" w:rsidRDefault="00576BD1">
      <w:pPr>
        <w:widowControl w:val="0"/>
        <w:tabs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По сравнению с объемом муниципального долга, сложившегося на 01.01.2024 (346 750,0 тыс. рублей), размер муниципального долга по состоянию на отчетную дату сократился на 77 750,0 тыс. рублей или на 22,4%, за счет совершения в течение года операций по </w:t>
      </w:r>
      <w:r>
        <w:rPr>
          <w:sz w:val="28"/>
          <w:szCs w:val="28"/>
          <w:lang w:eastAsia="en-US"/>
        </w:rPr>
        <w:t>уменьшению муниципального долга в связи с частичным погашением:</w:t>
      </w:r>
    </w:p>
    <w:p w:rsidR="00B14C2A" w:rsidRDefault="00576BD1">
      <w:pPr>
        <w:widowControl w:val="0"/>
        <w:numPr>
          <w:ilvl w:val="0"/>
          <w:numId w:val="20"/>
        </w:numPr>
        <w:tabs>
          <w:tab w:val="left" w:pos="142"/>
          <w:tab w:val="left" w:pos="1134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бюджетного кредита, привлеченного для частичного покрытия дефицита местного бюджета по Соглашению № 3 от 29.11.2018 – в сумме 2 750,0 тыс. рублей;</w:t>
      </w:r>
    </w:p>
    <w:p w:rsidR="00B14C2A" w:rsidRDefault="00576BD1">
      <w:pPr>
        <w:widowControl w:val="0"/>
        <w:numPr>
          <w:ilvl w:val="0"/>
          <w:numId w:val="20"/>
        </w:numPr>
        <w:tabs>
          <w:tab w:val="left" w:pos="1134"/>
        </w:tabs>
        <w:ind w:left="0" w:firstLine="72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бюджетного кредита, </w:t>
      </w:r>
      <w:r>
        <w:rPr>
          <w:sz w:val="28"/>
          <w:szCs w:val="28"/>
        </w:rPr>
        <w:t>привлеченного для погашения долговых обязательств муниципального образования по Соглашению № 1 от 22.07.2022 – в сумме 75 000,0 тыс. рублей</w:t>
      </w:r>
      <w:r>
        <w:rPr>
          <w:sz w:val="28"/>
          <w:szCs w:val="28"/>
          <w:lang w:eastAsia="en-US"/>
        </w:rPr>
        <w:t>.</w:t>
      </w:r>
    </w:p>
    <w:p w:rsidR="00B14C2A" w:rsidRDefault="00B14C2A">
      <w:pPr>
        <w:widowControl w:val="0"/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widowControl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23. </w:t>
      </w:r>
      <w:r>
        <w:rPr>
          <w:sz w:val="28"/>
          <w:szCs w:val="28"/>
          <w:lang w:eastAsia="en-US"/>
        </w:rPr>
        <w:t xml:space="preserve">В </w:t>
      </w:r>
      <w:r>
        <w:rPr>
          <w:sz w:val="28"/>
          <w:szCs w:val="28"/>
        </w:rPr>
        <w:t>соответствии с Программой заимствований в 2024 году планировалось не получать кредиты кредитных организаций и бюджетные кредиты, при этом частично погасить ранее привлеченные бюджетные кредиты в общей сумме 77 750,0 тыс. рублей.</w:t>
      </w:r>
    </w:p>
    <w:p w:rsidR="00B14C2A" w:rsidRDefault="00576BD1">
      <w:pPr>
        <w:widowControl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отчетом об исполнении бюджета в 2024 году общий объем погашенных бюджетных кредитов составил 77 750,0 тыс. рублей или 100% от плана. Кредиты кредитных организаций и бюджетные кредиты не привлекались, что соответствует Программе заимствований.</w:t>
      </w:r>
    </w:p>
    <w:p w:rsidR="00B14C2A" w:rsidRDefault="00B14C2A">
      <w:pPr>
        <w:widowControl w:val="0"/>
        <w:ind w:left="0" w:firstLine="709"/>
        <w:contextualSpacing/>
        <w:jc w:val="both"/>
        <w:rPr>
          <w:sz w:val="12"/>
          <w:szCs w:val="12"/>
          <w:lang w:eastAsia="en-US"/>
        </w:rPr>
      </w:pPr>
    </w:p>
    <w:p w:rsidR="00B14C2A" w:rsidRDefault="00576BD1">
      <w:pPr>
        <w:widowControl w:val="0"/>
        <w:ind w:left="0" w:firstLine="72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24.</w:t>
      </w:r>
      <w:r>
        <w:rPr>
          <w:sz w:val="28"/>
          <w:szCs w:val="28"/>
          <w:lang w:eastAsia="en-US"/>
        </w:rPr>
        <w:t xml:space="preserve"> Объем расходов на обслуживание муниципального долга города Оренбурга, установленный Решением о бюджете на 2024 год в сумме 316,2 тыс. рублей, фактически исполнен на 100,0%.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Муниципальной долговой книге и бюджетной отчетности данные расходы в полном объеме направлены на уплату процентов по бюджетным кредитам по ставке 0,1% годовых, задолженность по процентным платежам на 01.01.2025 отсутствует.</w:t>
      </w:r>
    </w:p>
    <w:p w:rsidR="00B14C2A" w:rsidRDefault="00576BD1">
      <w:pPr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расходами на обслуживание муниципального долга за 2023 год (485,4 тыс. рублей) процентные платежи в отчетном году сократились на 169,2 тыс. рублей или на 34,9% в связи с сокращением основного долга по бюджетным кредитам.</w:t>
      </w:r>
    </w:p>
    <w:p w:rsidR="00B14C2A" w:rsidRDefault="00B14C2A">
      <w:pPr>
        <w:tabs>
          <w:tab w:val="left" w:pos="3686"/>
        </w:tabs>
        <w:ind w:left="0"/>
        <w:jc w:val="both"/>
        <w:rPr>
          <w:sz w:val="28"/>
          <w:szCs w:val="28"/>
        </w:rPr>
      </w:pPr>
    </w:p>
    <w:p w:rsidR="00B14C2A" w:rsidRDefault="00B14C2A">
      <w:pPr>
        <w:tabs>
          <w:tab w:val="left" w:pos="3686"/>
        </w:tabs>
        <w:ind w:left="0"/>
        <w:jc w:val="both"/>
        <w:rPr>
          <w:sz w:val="28"/>
          <w:szCs w:val="28"/>
        </w:rPr>
      </w:pPr>
    </w:p>
    <w:p w:rsidR="00B14C2A" w:rsidRDefault="00B14C2A">
      <w:pPr>
        <w:tabs>
          <w:tab w:val="left" w:pos="3686"/>
        </w:tabs>
        <w:ind w:left="0"/>
        <w:jc w:val="both"/>
        <w:rPr>
          <w:sz w:val="28"/>
          <w:szCs w:val="28"/>
        </w:rPr>
      </w:pPr>
    </w:p>
    <w:p w:rsidR="00B14C2A" w:rsidRDefault="00576BD1">
      <w:pPr>
        <w:tabs>
          <w:tab w:val="left" w:pos="3686"/>
        </w:tabs>
        <w:ind w:hanging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14C2A" w:rsidRDefault="00576BD1">
      <w:pPr>
        <w:tabs>
          <w:tab w:val="left" w:pos="3686"/>
        </w:tabs>
        <w:ind w:hanging="561"/>
        <w:jc w:val="both"/>
        <w:rPr>
          <w:sz w:val="28"/>
          <w:szCs w:val="28"/>
        </w:rPr>
      </w:pPr>
      <w:r>
        <w:rPr>
          <w:sz w:val="28"/>
          <w:szCs w:val="28"/>
        </w:rPr>
        <w:t>Счетной палаты                                                                                            Т.Г. Перова</w:t>
      </w:r>
    </w:p>
    <w:p w:rsidR="00B14C2A" w:rsidRDefault="00576BD1">
      <w:pPr>
        <w:shd w:val="clear" w:color="auto" w:fill="FFFFFF"/>
        <w:ind w:left="0" w:right="140"/>
        <w:jc w:val="both"/>
      </w:pPr>
      <w:r>
        <w:t xml:space="preserve">                                                         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B14C2A" w:rsidRDefault="00B14C2A">
      <w:pPr>
        <w:ind w:left="0"/>
      </w:pPr>
    </w:p>
    <w:p w:rsidR="00B14C2A" w:rsidRDefault="00B14C2A">
      <w:pPr>
        <w:ind w:left="0"/>
        <w:contextualSpacing/>
      </w:pPr>
    </w:p>
    <w:sectPr w:rsidR="00B14C2A">
      <w:headerReference w:type="default" r:id="rId13"/>
      <w:pgSz w:w="11906" w:h="16838"/>
      <w:pgMar w:top="766" w:right="567" w:bottom="1134" w:left="1134" w:header="709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BD1" w:rsidRDefault="00576BD1">
      <w:r>
        <w:separator/>
      </w:r>
    </w:p>
  </w:endnote>
  <w:endnote w:type="continuationSeparator" w:id="0">
    <w:p w:rsidR="00576BD1" w:rsidRDefault="00576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BD1" w:rsidRDefault="00576BD1">
      <w:pPr>
        <w:rPr>
          <w:sz w:val="12"/>
        </w:rPr>
      </w:pPr>
      <w:r>
        <w:separator/>
      </w:r>
    </w:p>
  </w:footnote>
  <w:footnote w:type="continuationSeparator" w:id="0">
    <w:p w:rsidR="00576BD1" w:rsidRDefault="00576BD1">
      <w:pPr>
        <w:rPr>
          <w:sz w:val="12"/>
        </w:rPr>
      </w:pPr>
      <w:r>
        <w:continuationSeparator/>
      </w:r>
    </w:p>
  </w:footnote>
  <w:footnote w:id="1">
    <w:p w:rsidR="00B14C2A" w:rsidRPr="00172F43" w:rsidRDefault="00576BD1">
      <w:pPr>
        <w:pStyle w:val="af7"/>
      </w:pPr>
      <w:r>
        <w:rPr>
          <w:rStyle w:val="FootnoteCharacters"/>
        </w:rPr>
        <w:footnoteRef/>
      </w:r>
      <w:r>
        <w:t xml:space="preserve"> Заключение Счетной палаты на отчет об исполнении бюджета города Оренбурга за 2024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5664667"/>
      <w:docPartObj>
        <w:docPartGallery w:val="Page Numbers (Top of Page)"/>
        <w:docPartUnique/>
      </w:docPartObj>
    </w:sdtPr>
    <w:sdtEndPr/>
    <w:sdtContent>
      <w:p w:rsidR="00B14C2A" w:rsidRDefault="00576BD1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27475">
          <w:rPr>
            <w:noProof/>
          </w:rPr>
          <w:t>2</w:t>
        </w:r>
        <w:r>
          <w:fldChar w:fldCharType="end"/>
        </w:r>
      </w:p>
    </w:sdtContent>
  </w:sdt>
  <w:p w:rsidR="00B14C2A" w:rsidRDefault="00B14C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696"/>
    <w:multiLevelType w:val="multilevel"/>
    <w:tmpl w:val="6F0EFEC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6C5515F"/>
    <w:multiLevelType w:val="multilevel"/>
    <w:tmpl w:val="E69CA5E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BE458B3"/>
    <w:multiLevelType w:val="multilevel"/>
    <w:tmpl w:val="0B8AF56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28D644B8"/>
    <w:multiLevelType w:val="multilevel"/>
    <w:tmpl w:val="16FE4CA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2D733F40"/>
    <w:multiLevelType w:val="multilevel"/>
    <w:tmpl w:val="76446F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8491548"/>
    <w:multiLevelType w:val="multilevel"/>
    <w:tmpl w:val="4A1C9D6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3A534405"/>
    <w:multiLevelType w:val="multilevel"/>
    <w:tmpl w:val="66207AA8"/>
    <w:lvl w:ilvl="0">
      <w:start w:val="1"/>
      <w:numFmt w:val="bullet"/>
      <w:lvlText w:val=""/>
      <w:lvlJc w:val="left"/>
      <w:pPr>
        <w:tabs>
          <w:tab w:val="num" w:pos="0"/>
        </w:tabs>
        <w:ind w:left="14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 w:cs="Wingdings" w:hint="default"/>
      </w:rPr>
    </w:lvl>
  </w:abstractNum>
  <w:abstractNum w:abstractNumId="7">
    <w:nsid w:val="428B01A5"/>
    <w:multiLevelType w:val="multilevel"/>
    <w:tmpl w:val="AF3C00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50C1CFE"/>
    <w:multiLevelType w:val="multilevel"/>
    <w:tmpl w:val="F796E0A6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48A40D44"/>
    <w:multiLevelType w:val="multilevel"/>
    <w:tmpl w:val="4C3C12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F6D5818"/>
    <w:multiLevelType w:val="multilevel"/>
    <w:tmpl w:val="B01CB10C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5222233C"/>
    <w:multiLevelType w:val="multilevel"/>
    <w:tmpl w:val="E46E06B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16750E"/>
    <w:multiLevelType w:val="multilevel"/>
    <w:tmpl w:val="DD2C8144"/>
    <w:lvl w:ilvl="0">
      <w:start w:val="1"/>
      <w:numFmt w:val="bullet"/>
      <w:lvlText w:val=""/>
      <w:lvlJc w:val="left"/>
      <w:pPr>
        <w:tabs>
          <w:tab w:val="num" w:pos="0"/>
        </w:tabs>
        <w:ind w:left="503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564B4356"/>
    <w:multiLevelType w:val="multilevel"/>
    <w:tmpl w:val="F5820E7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58CA74AF"/>
    <w:multiLevelType w:val="multilevel"/>
    <w:tmpl w:val="70E8116A"/>
    <w:lvl w:ilvl="0">
      <w:start w:val="1"/>
      <w:numFmt w:val="bullet"/>
      <w:lvlText w:val=""/>
      <w:lvlJc w:val="left"/>
      <w:pPr>
        <w:tabs>
          <w:tab w:val="num" w:pos="0"/>
        </w:tabs>
        <w:ind w:left="15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1" w:hanging="360"/>
      </w:pPr>
      <w:rPr>
        <w:rFonts w:ascii="Wingdings" w:hAnsi="Wingdings" w:cs="Wingdings" w:hint="default"/>
      </w:rPr>
    </w:lvl>
  </w:abstractNum>
  <w:abstractNum w:abstractNumId="15">
    <w:nsid w:val="597952A4"/>
    <w:multiLevelType w:val="multilevel"/>
    <w:tmpl w:val="4BAC6C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BC6309"/>
    <w:multiLevelType w:val="multilevel"/>
    <w:tmpl w:val="4E744B96"/>
    <w:lvl w:ilvl="0">
      <w:start w:val="1"/>
      <w:numFmt w:val="bullet"/>
      <w:lvlText w:val=""/>
      <w:lvlJc w:val="left"/>
      <w:pPr>
        <w:tabs>
          <w:tab w:val="num" w:pos="0"/>
        </w:tabs>
        <w:ind w:left="532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>
    <w:nsid w:val="64E915A2"/>
    <w:multiLevelType w:val="multilevel"/>
    <w:tmpl w:val="4080DDC6"/>
    <w:lvl w:ilvl="0">
      <w:start w:val="1"/>
      <w:numFmt w:val="bullet"/>
      <w:lvlText w:val=""/>
      <w:lvlJc w:val="left"/>
      <w:pPr>
        <w:tabs>
          <w:tab w:val="num" w:pos="0"/>
        </w:tabs>
        <w:ind w:left="1502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2" w:hanging="360"/>
      </w:pPr>
      <w:rPr>
        <w:rFonts w:ascii="Wingdings" w:hAnsi="Wingdings" w:cs="Wingdings" w:hint="default"/>
      </w:rPr>
    </w:lvl>
  </w:abstractNum>
  <w:abstractNum w:abstractNumId="18">
    <w:nsid w:val="69B466D3"/>
    <w:multiLevelType w:val="multilevel"/>
    <w:tmpl w:val="E1B8F128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nsid w:val="6CA53B10"/>
    <w:multiLevelType w:val="multilevel"/>
    <w:tmpl w:val="1668D66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0">
    <w:nsid w:val="779A1750"/>
    <w:multiLevelType w:val="multilevel"/>
    <w:tmpl w:val="25E4E7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80192F"/>
    <w:multiLevelType w:val="multilevel"/>
    <w:tmpl w:val="90FEF69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2"/>
  </w:num>
  <w:num w:numId="5">
    <w:abstractNumId w:val="6"/>
  </w:num>
  <w:num w:numId="6">
    <w:abstractNumId w:val="21"/>
  </w:num>
  <w:num w:numId="7">
    <w:abstractNumId w:val="9"/>
  </w:num>
  <w:num w:numId="8">
    <w:abstractNumId w:val="10"/>
  </w:num>
  <w:num w:numId="9">
    <w:abstractNumId w:val="16"/>
  </w:num>
  <w:num w:numId="10">
    <w:abstractNumId w:val="2"/>
  </w:num>
  <w:num w:numId="11">
    <w:abstractNumId w:val="13"/>
  </w:num>
  <w:num w:numId="12">
    <w:abstractNumId w:val="5"/>
  </w:num>
  <w:num w:numId="13">
    <w:abstractNumId w:val="15"/>
  </w:num>
  <w:num w:numId="14">
    <w:abstractNumId w:val="4"/>
  </w:num>
  <w:num w:numId="15">
    <w:abstractNumId w:val="20"/>
  </w:num>
  <w:num w:numId="16">
    <w:abstractNumId w:val="19"/>
  </w:num>
  <w:num w:numId="17">
    <w:abstractNumId w:val="8"/>
  </w:num>
  <w:num w:numId="18">
    <w:abstractNumId w:val="18"/>
  </w:num>
  <w:num w:numId="19">
    <w:abstractNumId w:val="1"/>
  </w:num>
  <w:num w:numId="20">
    <w:abstractNumId w:val="11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C2A"/>
    <w:rsid w:val="00172F43"/>
    <w:rsid w:val="00327475"/>
    <w:rsid w:val="00576BD1"/>
    <w:rsid w:val="005D0324"/>
    <w:rsid w:val="00B1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561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A565CC"/>
    <w:pPr>
      <w:keepNext/>
      <w:spacing w:before="240" w:after="60"/>
      <w:ind w:left="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565CC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rsid w:val="00A565CC"/>
    <w:rPr>
      <w:rFonts w:ascii="Arial" w:hAnsi="Arial" w:cs="Arial"/>
      <w:b/>
      <w:bCs/>
      <w:i/>
      <w:iCs/>
      <w:sz w:val="28"/>
      <w:szCs w:val="28"/>
    </w:rPr>
  </w:style>
  <w:style w:type="character" w:customStyle="1" w:styleId="a3">
    <w:name w:val="Основной текст Знак"/>
    <w:basedOn w:val="a0"/>
    <w:link w:val="a4"/>
    <w:uiPriority w:val="99"/>
    <w:qFormat/>
    <w:locked/>
    <w:rsid w:val="00A565CC"/>
    <w:rPr>
      <w:b/>
      <w:bCs/>
      <w:sz w:val="24"/>
      <w:szCs w:val="24"/>
    </w:rPr>
  </w:style>
  <w:style w:type="character" w:customStyle="1" w:styleId="a5">
    <w:name w:val="Основной текст с отступом Знак"/>
    <w:basedOn w:val="a0"/>
    <w:link w:val="a6"/>
    <w:uiPriority w:val="99"/>
    <w:qFormat/>
    <w:locked/>
    <w:rsid w:val="00A565CC"/>
    <w:rPr>
      <w:sz w:val="28"/>
      <w:szCs w:val="28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a8">
    <w:name w:val="Верхний колонтитул Знак"/>
    <w:link w:val="a9"/>
    <w:uiPriority w:val="99"/>
    <w:qFormat/>
    <w:rsid w:val="002103EA"/>
    <w:rPr>
      <w:sz w:val="24"/>
      <w:szCs w:val="24"/>
    </w:rPr>
  </w:style>
  <w:style w:type="character" w:customStyle="1" w:styleId="aa">
    <w:name w:val="Нижний колонтитул Знак"/>
    <w:link w:val="ab"/>
    <w:uiPriority w:val="99"/>
    <w:qFormat/>
    <w:rsid w:val="002103EA"/>
    <w:rPr>
      <w:sz w:val="24"/>
      <w:szCs w:val="24"/>
    </w:rPr>
  </w:style>
  <w:style w:type="character" w:customStyle="1" w:styleId="ac">
    <w:name w:val="Текст выноски Знак"/>
    <w:link w:val="ad"/>
    <w:uiPriority w:val="99"/>
    <w:qFormat/>
    <w:rsid w:val="00441AFF"/>
    <w:rPr>
      <w:rFonts w:ascii="Tahoma" w:hAnsi="Tahoma" w:cs="Tahoma"/>
      <w:sz w:val="16"/>
      <w:szCs w:val="16"/>
    </w:rPr>
  </w:style>
  <w:style w:type="character" w:styleId="ae">
    <w:name w:val="Strong"/>
    <w:uiPriority w:val="22"/>
    <w:qFormat/>
    <w:rsid w:val="00B76177"/>
    <w:rPr>
      <w:b/>
      <w:bCs/>
    </w:rPr>
  </w:style>
  <w:style w:type="character" w:customStyle="1" w:styleId="af">
    <w:name w:val="Абзац списка Знак"/>
    <w:link w:val="af0"/>
    <w:uiPriority w:val="34"/>
    <w:qFormat/>
    <w:locked/>
    <w:rsid w:val="00746422"/>
    <w:rPr>
      <w:rFonts w:ascii="Arial" w:eastAsiaTheme="minorHAnsi" w:hAnsi="Arial" w:cs="Arial"/>
      <w:sz w:val="24"/>
      <w:szCs w:val="24"/>
      <w:lang w:eastAsia="en-US"/>
    </w:rPr>
  </w:style>
  <w:style w:type="character" w:customStyle="1" w:styleId="Bodytext2">
    <w:name w:val="Body text (2)_"/>
    <w:basedOn w:val="a0"/>
    <w:link w:val="Bodytext20"/>
    <w:qFormat/>
    <w:rsid w:val="00F23762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basedOn w:val="a0"/>
    <w:uiPriority w:val="99"/>
    <w:qFormat/>
    <w:rsid w:val="006D0E95"/>
    <w:rPr>
      <w:color w:val="106BBE"/>
    </w:rPr>
  </w:style>
  <w:style w:type="character" w:styleId="af2">
    <w:name w:val="Emphasis"/>
    <w:basedOn w:val="a0"/>
    <w:uiPriority w:val="20"/>
    <w:qFormat/>
    <w:rsid w:val="00783351"/>
    <w:rPr>
      <w:i/>
      <w:iCs/>
    </w:rPr>
  </w:style>
  <w:style w:type="character" w:customStyle="1" w:styleId="s10">
    <w:name w:val="s_10"/>
    <w:basedOn w:val="a0"/>
    <w:qFormat/>
    <w:rsid w:val="00F04CAA"/>
  </w:style>
  <w:style w:type="character" w:customStyle="1" w:styleId="highlightsearch">
    <w:name w:val="highlightsearch"/>
    <w:basedOn w:val="a0"/>
    <w:qFormat/>
    <w:rsid w:val="00F04CAA"/>
  </w:style>
  <w:style w:type="character" w:customStyle="1" w:styleId="21">
    <w:name w:val="Основной текст с отступом 2 Знак"/>
    <w:basedOn w:val="a0"/>
    <w:link w:val="22"/>
    <w:uiPriority w:val="99"/>
    <w:qFormat/>
    <w:rsid w:val="00A565CC"/>
    <w:rPr>
      <w:sz w:val="28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A565CC"/>
    <w:rPr>
      <w:sz w:val="16"/>
      <w:szCs w:val="16"/>
    </w:rPr>
  </w:style>
  <w:style w:type="character" w:customStyle="1" w:styleId="31">
    <w:name w:val="Основной текст 3 Знак"/>
    <w:basedOn w:val="a0"/>
    <w:link w:val="32"/>
    <w:uiPriority w:val="99"/>
    <w:qFormat/>
    <w:rsid w:val="00A565CC"/>
    <w:rPr>
      <w:sz w:val="16"/>
      <w:szCs w:val="16"/>
    </w:rPr>
  </w:style>
  <w:style w:type="character" w:styleId="af3">
    <w:name w:val="page number"/>
    <w:basedOn w:val="a0"/>
    <w:uiPriority w:val="99"/>
    <w:qFormat/>
    <w:rsid w:val="00A565CC"/>
    <w:rPr>
      <w:rFonts w:cs="Times New Roman"/>
    </w:rPr>
  </w:style>
  <w:style w:type="character" w:customStyle="1" w:styleId="af4">
    <w:name w:val="Цветовое выделение"/>
    <w:uiPriority w:val="99"/>
    <w:qFormat/>
    <w:rsid w:val="00A565CC"/>
    <w:rPr>
      <w:b/>
      <w:color w:val="000080"/>
      <w:sz w:val="20"/>
    </w:rPr>
  </w:style>
  <w:style w:type="character" w:customStyle="1" w:styleId="23">
    <w:name w:val="Основной текст 2 Знак"/>
    <w:basedOn w:val="a0"/>
    <w:link w:val="24"/>
    <w:uiPriority w:val="99"/>
    <w:qFormat/>
    <w:rsid w:val="00A565CC"/>
    <w:rPr>
      <w:sz w:val="24"/>
      <w:szCs w:val="24"/>
    </w:rPr>
  </w:style>
  <w:style w:type="character" w:customStyle="1" w:styleId="11">
    <w:name w:val="Верхний колонтитул Знак1"/>
    <w:basedOn w:val="a0"/>
    <w:uiPriority w:val="99"/>
    <w:qFormat/>
    <w:rsid w:val="00A565CC"/>
    <w:rPr>
      <w:rFonts w:cs="Times New Roman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FD79E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25">
    <w:name w:val="Основной текст с отступом Знак2"/>
    <w:basedOn w:val="a0"/>
    <w:uiPriority w:val="99"/>
    <w:semiHidden/>
    <w:qFormat/>
    <w:rsid w:val="00FD79E6"/>
    <w:rPr>
      <w:rFonts w:cs="Times New Roman"/>
    </w:rPr>
  </w:style>
  <w:style w:type="character" w:customStyle="1" w:styleId="220">
    <w:name w:val="Основной текст с отступом Знак22"/>
    <w:basedOn w:val="a0"/>
    <w:uiPriority w:val="99"/>
    <w:semiHidden/>
    <w:qFormat/>
    <w:rsid w:val="00FD79E6"/>
    <w:rPr>
      <w:rFonts w:cs="Times New Roman"/>
    </w:rPr>
  </w:style>
  <w:style w:type="character" w:customStyle="1" w:styleId="210">
    <w:name w:val="Основной текст с отступом Знак21"/>
    <w:basedOn w:val="a0"/>
    <w:uiPriority w:val="99"/>
    <w:semiHidden/>
    <w:qFormat/>
    <w:rsid w:val="00FD79E6"/>
    <w:rPr>
      <w:rFonts w:cs="Times New Roman"/>
    </w:rPr>
  </w:style>
  <w:style w:type="character" w:customStyle="1" w:styleId="26">
    <w:name w:val="Верхний колонтитул Знак2"/>
    <w:basedOn w:val="a0"/>
    <w:uiPriority w:val="99"/>
    <w:qFormat/>
    <w:rsid w:val="00FD79E6"/>
  </w:style>
  <w:style w:type="character" w:customStyle="1" w:styleId="13">
    <w:name w:val="Сильное выделение1"/>
    <w:basedOn w:val="a0"/>
    <w:uiPriority w:val="21"/>
    <w:qFormat/>
    <w:rsid w:val="00FD79E6"/>
    <w:rPr>
      <w:b/>
      <w:bCs/>
      <w:i/>
      <w:iCs/>
      <w:color w:val="4F81BD"/>
    </w:rPr>
  </w:style>
  <w:style w:type="character" w:styleId="af5">
    <w:name w:val="Intense Emphasis"/>
    <w:basedOn w:val="a0"/>
    <w:uiPriority w:val="21"/>
    <w:qFormat/>
    <w:rsid w:val="00FD79E6"/>
    <w:rPr>
      <w:b/>
      <w:bCs/>
      <w:i/>
      <w:iCs/>
      <w:color w:val="4472C4" w:themeColor="accent1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515805"/>
  </w:style>
  <w:style w:type="character" w:customStyle="1" w:styleId="FootnoteCharacters">
    <w:name w:val="Footnote Characters"/>
    <w:basedOn w:val="a0"/>
    <w:uiPriority w:val="99"/>
    <w:semiHidden/>
    <w:unhideWhenUsed/>
    <w:qFormat/>
    <w:rsid w:val="00515805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link w:val="a3"/>
    <w:uiPriority w:val="99"/>
    <w:pPr>
      <w:jc w:val="center"/>
    </w:pPr>
    <w:rPr>
      <w:b/>
      <w:bCs/>
    </w:rPr>
  </w:style>
  <w:style w:type="paragraph" w:styleId="afa">
    <w:name w:val="List"/>
    <w:basedOn w:val="a4"/>
  </w:style>
  <w:style w:type="paragraph" w:styleId="afb">
    <w:name w:val="caption"/>
    <w:basedOn w:val="a"/>
    <w:next w:val="a"/>
    <w:qFormat/>
    <w:pPr>
      <w:jc w:val="center"/>
    </w:pPr>
    <w:rPr>
      <w:b/>
      <w:bCs/>
      <w:sz w:val="20"/>
      <w:szCs w:val="20"/>
      <w:lang w:val="en-US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ody Text Indent"/>
    <w:basedOn w:val="a"/>
    <w:link w:val="a5"/>
    <w:uiPriority w:val="99"/>
    <w:pPr>
      <w:ind w:firstLine="851"/>
      <w:jc w:val="both"/>
    </w:pPr>
    <w:rPr>
      <w:sz w:val="28"/>
      <w:szCs w:val="28"/>
    </w:rPr>
  </w:style>
  <w:style w:type="paragraph" w:customStyle="1" w:styleId="afc">
    <w:name w:val="Знак Знак Знак Знак"/>
    <w:basedOn w:val="a"/>
    <w:qFormat/>
    <w:rsid w:val="007C799C"/>
    <w:pPr>
      <w:spacing w:beforeAutospacing="1" w:afterAutospacing="1"/>
      <w:ind w:left="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HeaderandFooter">
    <w:name w:val="Header and Footer"/>
    <w:basedOn w:val="a"/>
    <w:qFormat/>
  </w:style>
  <w:style w:type="paragraph" w:styleId="a9">
    <w:name w:val="header"/>
    <w:basedOn w:val="a"/>
    <w:link w:val="a8"/>
    <w:uiPriority w:val="99"/>
    <w:unhideWhenUsed/>
    <w:rsid w:val="002103E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footer"/>
    <w:basedOn w:val="a"/>
    <w:link w:val="aa"/>
    <w:uiPriority w:val="99"/>
    <w:unhideWhenUsed/>
    <w:rsid w:val="002103E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d">
    <w:name w:val="Balloon Text"/>
    <w:basedOn w:val="a"/>
    <w:link w:val="ac"/>
    <w:uiPriority w:val="99"/>
    <w:unhideWhenUsed/>
    <w:qFormat/>
    <w:rsid w:val="00441AFF"/>
    <w:rPr>
      <w:rFonts w:ascii="Tahoma" w:hAnsi="Tahoma"/>
      <w:sz w:val="16"/>
      <w:szCs w:val="16"/>
      <w:lang w:val="x-none" w:eastAsia="x-none"/>
    </w:rPr>
  </w:style>
  <w:style w:type="paragraph" w:styleId="afd">
    <w:name w:val="No Spacing"/>
    <w:uiPriority w:val="1"/>
    <w:qFormat/>
    <w:rsid w:val="000432F5"/>
    <w:pPr>
      <w:ind w:left="561"/>
    </w:pPr>
    <w:rPr>
      <w:sz w:val="24"/>
      <w:szCs w:val="24"/>
    </w:rPr>
  </w:style>
  <w:style w:type="paragraph" w:styleId="af0">
    <w:name w:val="List Paragraph"/>
    <w:basedOn w:val="a"/>
    <w:link w:val="af"/>
    <w:uiPriority w:val="34"/>
    <w:qFormat/>
    <w:rsid w:val="00F23762"/>
    <w:pPr>
      <w:ind w:left="720" w:firstLine="720"/>
      <w:contextualSpacing/>
      <w:jc w:val="both"/>
    </w:pPr>
    <w:rPr>
      <w:rFonts w:ascii="Arial" w:eastAsiaTheme="minorHAnsi" w:hAnsi="Arial" w:cs="Arial"/>
      <w:lang w:eastAsia="en-US"/>
    </w:rPr>
  </w:style>
  <w:style w:type="paragraph" w:customStyle="1" w:styleId="Bodytext20">
    <w:name w:val="Body text (2)"/>
    <w:basedOn w:val="a"/>
    <w:link w:val="Bodytext2"/>
    <w:qFormat/>
    <w:rsid w:val="00F23762"/>
    <w:pPr>
      <w:widowControl w:val="0"/>
      <w:shd w:val="clear" w:color="auto" w:fill="FFFFFF"/>
      <w:spacing w:before="60" w:after="900" w:line="320" w:lineRule="exact"/>
      <w:ind w:left="0" w:hanging="360"/>
    </w:pPr>
    <w:rPr>
      <w:sz w:val="28"/>
      <w:szCs w:val="28"/>
    </w:rPr>
  </w:style>
  <w:style w:type="paragraph" w:customStyle="1" w:styleId="s1">
    <w:name w:val="s_1"/>
    <w:basedOn w:val="a"/>
    <w:uiPriority w:val="99"/>
    <w:qFormat/>
    <w:rsid w:val="000B3646"/>
    <w:pPr>
      <w:spacing w:beforeAutospacing="1" w:afterAutospacing="1"/>
      <w:ind w:left="0" w:firstLine="720"/>
      <w:jc w:val="both"/>
    </w:pPr>
    <w:rPr>
      <w:rFonts w:ascii="Arial" w:eastAsiaTheme="minorHAnsi" w:hAnsi="Arial" w:cs="Arial"/>
      <w:lang w:eastAsia="en-US"/>
    </w:rPr>
  </w:style>
  <w:style w:type="paragraph" w:customStyle="1" w:styleId="s16">
    <w:name w:val="s_16"/>
    <w:basedOn w:val="a"/>
    <w:qFormat/>
    <w:rsid w:val="00F06A90"/>
    <w:pPr>
      <w:spacing w:beforeAutospacing="1" w:afterAutospacing="1"/>
      <w:ind w:left="0"/>
    </w:pPr>
  </w:style>
  <w:style w:type="paragraph" w:customStyle="1" w:styleId="empty">
    <w:name w:val="empty"/>
    <w:basedOn w:val="a"/>
    <w:qFormat/>
    <w:rsid w:val="00F06A90"/>
    <w:pPr>
      <w:spacing w:beforeAutospacing="1" w:afterAutospacing="1"/>
      <w:ind w:left="0"/>
    </w:pPr>
  </w:style>
  <w:style w:type="paragraph" w:styleId="22">
    <w:name w:val="Body Text Indent 2"/>
    <w:basedOn w:val="a"/>
    <w:link w:val="21"/>
    <w:uiPriority w:val="99"/>
    <w:qFormat/>
    <w:rsid w:val="00A565CC"/>
    <w:pPr>
      <w:ind w:left="0"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"/>
    <w:uiPriority w:val="99"/>
    <w:qFormat/>
    <w:rsid w:val="00A565CC"/>
    <w:pPr>
      <w:spacing w:after="120"/>
      <w:ind w:left="283"/>
      <w:jc w:val="both"/>
    </w:pPr>
    <w:rPr>
      <w:sz w:val="16"/>
      <w:szCs w:val="16"/>
    </w:rPr>
  </w:style>
  <w:style w:type="paragraph" w:styleId="32">
    <w:name w:val="Body Text 3"/>
    <w:basedOn w:val="a"/>
    <w:link w:val="31"/>
    <w:uiPriority w:val="99"/>
    <w:qFormat/>
    <w:rsid w:val="00A565CC"/>
    <w:pPr>
      <w:spacing w:after="120"/>
      <w:ind w:left="0"/>
      <w:jc w:val="both"/>
    </w:pPr>
    <w:rPr>
      <w:sz w:val="16"/>
      <w:szCs w:val="16"/>
    </w:rPr>
  </w:style>
  <w:style w:type="paragraph" w:customStyle="1" w:styleId="afe">
    <w:name w:val="Заголовок статьи"/>
    <w:basedOn w:val="a"/>
    <w:next w:val="a"/>
    <w:uiPriority w:val="99"/>
    <w:qFormat/>
    <w:rsid w:val="00A565CC"/>
    <w:pPr>
      <w:widowControl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xl26">
    <w:name w:val="xl26"/>
    <w:basedOn w:val="a"/>
    <w:uiPriority w:val="99"/>
    <w:qFormat/>
    <w:rsid w:val="00A565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rFonts w:eastAsia="Arial Unicode MS"/>
      <w:b/>
      <w:bCs/>
    </w:rPr>
  </w:style>
  <w:style w:type="paragraph" w:customStyle="1" w:styleId="ConsPlusTitle">
    <w:name w:val="ConsPlusTitle"/>
    <w:qFormat/>
    <w:rsid w:val="00A565CC"/>
    <w:pPr>
      <w:widowControl w:val="0"/>
      <w:jc w:val="both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qFormat/>
    <w:rsid w:val="00A565CC"/>
    <w:pPr>
      <w:jc w:val="both"/>
    </w:pPr>
    <w:rPr>
      <w:rFonts w:ascii="Courier New" w:hAnsi="Courier New" w:cs="Courier New"/>
    </w:rPr>
  </w:style>
  <w:style w:type="paragraph" w:customStyle="1" w:styleId="211">
    <w:name w:val="Основной текст 21"/>
    <w:basedOn w:val="a"/>
    <w:uiPriority w:val="99"/>
    <w:qFormat/>
    <w:rsid w:val="00A565CC"/>
    <w:pPr>
      <w:widowControl w:val="0"/>
      <w:spacing w:line="360" w:lineRule="auto"/>
      <w:ind w:left="0" w:firstLine="709"/>
      <w:jc w:val="both"/>
    </w:pPr>
    <w:rPr>
      <w:szCs w:val="20"/>
    </w:rPr>
  </w:style>
  <w:style w:type="paragraph" w:styleId="24">
    <w:name w:val="Body Text 2"/>
    <w:basedOn w:val="a"/>
    <w:link w:val="23"/>
    <w:uiPriority w:val="99"/>
    <w:qFormat/>
    <w:rsid w:val="00A565CC"/>
    <w:pPr>
      <w:spacing w:after="120" w:line="480" w:lineRule="auto"/>
      <w:ind w:left="0"/>
      <w:jc w:val="both"/>
    </w:pPr>
  </w:style>
  <w:style w:type="paragraph" w:customStyle="1" w:styleId="aff">
    <w:name w:val="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7">
    <w:name w:val="Знак Знак Знак Знак Знак Знак2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 Знак Знак Знак Знак Знак Знак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 Знак Знак Знак1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qFormat/>
    <w:rsid w:val="00A565CC"/>
    <w:pPr>
      <w:jc w:val="both"/>
    </w:pPr>
    <w:rPr>
      <w:rFonts w:ascii="Arial" w:hAnsi="Arial" w:cs="Arial"/>
      <w:lang w:eastAsia="en-US"/>
    </w:rPr>
  </w:style>
  <w:style w:type="paragraph" w:customStyle="1" w:styleId="33">
    <w:name w:val="Знак3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Основной текст с отступом.Надин стиль1"/>
    <w:basedOn w:val="a"/>
    <w:uiPriority w:val="99"/>
    <w:qFormat/>
    <w:rsid w:val="00A565CC"/>
    <w:pPr>
      <w:ind w:left="0" w:firstLine="567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uiPriority w:val="99"/>
    <w:qFormat/>
    <w:rsid w:val="00A565CC"/>
    <w:pPr>
      <w:ind w:left="0" w:firstLine="567"/>
      <w:jc w:val="both"/>
      <w:textAlignment w:val="baseline"/>
    </w:pPr>
    <w:rPr>
      <w:sz w:val="28"/>
      <w:szCs w:val="20"/>
    </w:rPr>
  </w:style>
  <w:style w:type="paragraph" w:customStyle="1" w:styleId="18">
    <w:name w:val="Верхний колонтитул1"/>
    <w:basedOn w:val="a"/>
    <w:next w:val="a9"/>
    <w:uiPriority w:val="99"/>
    <w:unhideWhenUsed/>
    <w:qFormat/>
    <w:rsid w:val="00A565CC"/>
    <w:pPr>
      <w:tabs>
        <w:tab w:val="center" w:pos="4677"/>
        <w:tab w:val="right" w:pos="9355"/>
      </w:tabs>
      <w:ind w:left="0"/>
      <w:jc w:val="both"/>
    </w:pPr>
    <w:rPr>
      <w:rFonts w:ascii="Calibri" w:hAnsi="Calibri"/>
      <w:sz w:val="28"/>
      <w:szCs w:val="28"/>
      <w:lang w:eastAsia="en-US"/>
    </w:rPr>
  </w:style>
  <w:style w:type="paragraph" w:styleId="19">
    <w:name w:val="toc 1"/>
    <w:basedOn w:val="a"/>
    <w:next w:val="a"/>
    <w:autoRedefine/>
    <w:uiPriority w:val="39"/>
    <w:unhideWhenUsed/>
    <w:qFormat/>
    <w:rsid w:val="00A565CC"/>
    <w:pPr>
      <w:ind w:left="0"/>
      <w:jc w:val="both"/>
    </w:pPr>
    <w:rPr>
      <w:rFonts w:ascii="Calibri" w:hAnsi="Calibri"/>
      <w:sz w:val="28"/>
      <w:szCs w:val="28"/>
      <w:lang w:eastAsia="en-US"/>
    </w:rPr>
  </w:style>
  <w:style w:type="paragraph" w:customStyle="1" w:styleId="ConsPlusNormal">
    <w:name w:val="ConsPlusNormal"/>
    <w:uiPriority w:val="99"/>
    <w:qFormat/>
    <w:rsid w:val="00A565CC"/>
    <w:pPr>
      <w:jc w:val="both"/>
    </w:pPr>
    <w:rPr>
      <w:sz w:val="28"/>
      <w:szCs w:val="28"/>
    </w:rPr>
  </w:style>
  <w:style w:type="paragraph" w:customStyle="1" w:styleId="aff5">
    <w:name w:val="Прижатый влево"/>
    <w:basedOn w:val="a"/>
    <w:next w:val="a"/>
    <w:uiPriority w:val="99"/>
    <w:qFormat/>
    <w:rsid w:val="00A565CC"/>
    <w:pPr>
      <w:ind w:left="0"/>
      <w:jc w:val="both"/>
    </w:pPr>
    <w:rPr>
      <w:rFonts w:ascii="Arial" w:hAnsi="Arial" w:cs="Arial"/>
    </w:rPr>
  </w:style>
  <w:style w:type="paragraph" w:styleId="aff6">
    <w:name w:val="Normal (Web)"/>
    <w:basedOn w:val="a"/>
    <w:uiPriority w:val="99"/>
    <w:qFormat/>
    <w:rsid w:val="00A565CC"/>
    <w:pPr>
      <w:spacing w:beforeAutospacing="1" w:afterAutospacing="1"/>
      <w:ind w:left="0" w:firstLine="405"/>
      <w:jc w:val="both"/>
    </w:pPr>
    <w:rPr>
      <w:rFonts w:ascii="Tahoma" w:hAnsi="Tahoma" w:cs="Tahoma"/>
      <w:sz w:val="17"/>
      <w:szCs w:val="17"/>
    </w:rPr>
  </w:style>
  <w:style w:type="paragraph" w:customStyle="1" w:styleId="Default">
    <w:name w:val="Default"/>
    <w:qFormat/>
    <w:rsid w:val="00A565CC"/>
    <w:pPr>
      <w:jc w:val="both"/>
    </w:pPr>
    <w:rPr>
      <w:color w:val="000000"/>
      <w:sz w:val="24"/>
      <w:szCs w:val="24"/>
      <w:lang w:eastAsia="en-US"/>
    </w:rPr>
  </w:style>
  <w:style w:type="paragraph" w:customStyle="1" w:styleId="aff7">
    <w:name w:val="Комментарий"/>
    <w:basedOn w:val="a"/>
    <w:next w:val="a"/>
    <w:uiPriority w:val="99"/>
    <w:qFormat/>
    <w:rsid w:val="00A565CC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en-US"/>
    </w:rPr>
  </w:style>
  <w:style w:type="paragraph" w:customStyle="1" w:styleId="aff8">
    <w:name w:val="Информация об изменениях документа"/>
    <w:basedOn w:val="aff7"/>
    <w:next w:val="a"/>
    <w:uiPriority w:val="99"/>
    <w:qFormat/>
    <w:rsid w:val="00A565CC"/>
    <w:rPr>
      <w:i/>
      <w:iCs/>
    </w:rPr>
  </w:style>
  <w:style w:type="paragraph" w:customStyle="1" w:styleId="1a">
    <w:name w:val="Основной текст с отступом Знак Знак Знак Знак1"/>
    <w:basedOn w:val="a"/>
    <w:next w:val="a6"/>
    <w:uiPriority w:val="99"/>
    <w:semiHidden/>
    <w:unhideWhenUsed/>
    <w:qFormat/>
    <w:rsid w:val="00FD79E6"/>
    <w:pPr>
      <w:spacing w:after="120"/>
      <w:ind w:left="283"/>
      <w:jc w:val="both"/>
    </w:pPr>
    <w:rPr>
      <w:lang w:eastAsia="en-US"/>
    </w:rPr>
  </w:style>
  <w:style w:type="paragraph" w:styleId="af7">
    <w:name w:val="footnote text"/>
    <w:basedOn w:val="a"/>
    <w:link w:val="af6"/>
    <w:uiPriority w:val="99"/>
    <w:semiHidden/>
    <w:unhideWhenUsed/>
    <w:rsid w:val="00515805"/>
    <w:rPr>
      <w:sz w:val="20"/>
      <w:szCs w:val="20"/>
    </w:rPr>
  </w:style>
  <w:style w:type="numbering" w:customStyle="1" w:styleId="1b">
    <w:name w:val="Нет списка1"/>
    <w:uiPriority w:val="99"/>
    <w:semiHidden/>
    <w:unhideWhenUsed/>
    <w:qFormat/>
    <w:rsid w:val="00FD79E6"/>
  </w:style>
  <w:style w:type="table" w:styleId="aff9">
    <w:name w:val="Table Grid"/>
    <w:basedOn w:val="a1"/>
    <w:uiPriority w:val="59"/>
    <w:rsid w:val="00063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99"/>
    <w:rsid w:val="00FD79E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FD7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561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A565CC"/>
    <w:pPr>
      <w:keepNext/>
      <w:spacing w:before="240" w:after="60"/>
      <w:ind w:left="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565CC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rsid w:val="00A565CC"/>
    <w:rPr>
      <w:rFonts w:ascii="Arial" w:hAnsi="Arial" w:cs="Arial"/>
      <w:b/>
      <w:bCs/>
      <w:i/>
      <w:iCs/>
      <w:sz w:val="28"/>
      <w:szCs w:val="28"/>
    </w:rPr>
  </w:style>
  <w:style w:type="character" w:customStyle="1" w:styleId="a3">
    <w:name w:val="Основной текст Знак"/>
    <w:basedOn w:val="a0"/>
    <w:link w:val="a4"/>
    <w:uiPriority w:val="99"/>
    <w:qFormat/>
    <w:locked/>
    <w:rsid w:val="00A565CC"/>
    <w:rPr>
      <w:b/>
      <w:bCs/>
      <w:sz w:val="24"/>
      <w:szCs w:val="24"/>
    </w:rPr>
  </w:style>
  <w:style w:type="character" w:customStyle="1" w:styleId="a5">
    <w:name w:val="Основной текст с отступом Знак"/>
    <w:basedOn w:val="a0"/>
    <w:link w:val="a6"/>
    <w:uiPriority w:val="99"/>
    <w:qFormat/>
    <w:locked/>
    <w:rsid w:val="00A565CC"/>
    <w:rPr>
      <w:sz w:val="28"/>
      <w:szCs w:val="28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a8">
    <w:name w:val="Верхний колонтитул Знак"/>
    <w:link w:val="a9"/>
    <w:uiPriority w:val="99"/>
    <w:qFormat/>
    <w:rsid w:val="002103EA"/>
    <w:rPr>
      <w:sz w:val="24"/>
      <w:szCs w:val="24"/>
    </w:rPr>
  </w:style>
  <w:style w:type="character" w:customStyle="1" w:styleId="aa">
    <w:name w:val="Нижний колонтитул Знак"/>
    <w:link w:val="ab"/>
    <w:uiPriority w:val="99"/>
    <w:qFormat/>
    <w:rsid w:val="002103EA"/>
    <w:rPr>
      <w:sz w:val="24"/>
      <w:szCs w:val="24"/>
    </w:rPr>
  </w:style>
  <w:style w:type="character" w:customStyle="1" w:styleId="ac">
    <w:name w:val="Текст выноски Знак"/>
    <w:link w:val="ad"/>
    <w:uiPriority w:val="99"/>
    <w:qFormat/>
    <w:rsid w:val="00441AFF"/>
    <w:rPr>
      <w:rFonts w:ascii="Tahoma" w:hAnsi="Tahoma" w:cs="Tahoma"/>
      <w:sz w:val="16"/>
      <w:szCs w:val="16"/>
    </w:rPr>
  </w:style>
  <w:style w:type="character" w:styleId="ae">
    <w:name w:val="Strong"/>
    <w:uiPriority w:val="22"/>
    <w:qFormat/>
    <w:rsid w:val="00B76177"/>
    <w:rPr>
      <w:b/>
      <w:bCs/>
    </w:rPr>
  </w:style>
  <w:style w:type="character" w:customStyle="1" w:styleId="af">
    <w:name w:val="Абзац списка Знак"/>
    <w:link w:val="af0"/>
    <w:uiPriority w:val="34"/>
    <w:qFormat/>
    <w:locked/>
    <w:rsid w:val="00746422"/>
    <w:rPr>
      <w:rFonts w:ascii="Arial" w:eastAsiaTheme="minorHAnsi" w:hAnsi="Arial" w:cs="Arial"/>
      <w:sz w:val="24"/>
      <w:szCs w:val="24"/>
      <w:lang w:eastAsia="en-US"/>
    </w:rPr>
  </w:style>
  <w:style w:type="character" w:customStyle="1" w:styleId="Bodytext2">
    <w:name w:val="Body text (2)_"/>
    <w:basedOn w:val="a0"/>
    <w:link w:val="Bodytext20"/>
    <w:qFormat/>
    <w:rsid w:val="00F23762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basedOn w:val="a0"/>
    <w:uiPriority w:val="99"/>
    <w:qFormat/>
    <w:rsid w:val="006D0E95"/>
    <w:rPr>
      <w:color w:val="106BBE"/>
    </w:rPr>
  </w:style>
  <w:style w:type="character" w:styleId="af2">
    <w:name w:val="Emphasis"/>
    <w:basedOn w:val="a0"/>
    <w:uiPriority w:val="20"/>
    <w:qFormat/>
    <w:rsid w:val="00783351"/>
    <w:rPr>
      <w:i/>
      <w:iCs/>
    </w:rPr>
  </w:style>
  <w:style w:type="character" w:customStyle="1" w:styleId="s10">
    <w:name w:val="s_10"/>
    <w:basedOn w:val="a0"/>
    <w:qFormat/>
    <w:rsid w:val="00F04CAA"/>
  </w:style>
  <w:style w:type="character" w:customStyle="1" w:styleId="highlightsearch">
    <w:name w:val="highlightsearch"/>
    <w:basedOn w:val="a0"/>
    <w:qFormat/>
    <w:rsid w:val="00F04CAA"/>
  </w:style>
  <w:style w:type="character" w:customStyle="1" w:styleId="21">
    <w:name w:val="Основной текст с отступом 2 Знак"/>
    <w:basedOn w:val="a0"/>
    <w:link w:val="22"/>
    <w:uiPriority w:val="99"/>
    <w:qFormat/>
    <w:rsid w:val="00A565CC"/>
    <w:rPr>
      <w:sz w:val="28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A565CC"/>
    <w:rPr>
      <w:sz w:val="16"/>
      <w:szCs w:val="16"/>
    </w:rPr>
  </w:style>
  <w:style w:type="character" w:customStyle="1" w:styleId="31">
    <w:name w:val="Основной текст 3 Знак"/>
    <w:basedOn w:val="a0"/>
    <w:link w:val="32"/>
    <w:uiPriority w:val="99"/>
    <w:qFormat/>
    <w:rsid w:val="00A565CC"/>
    <w:rPr>
      <w:sz w:val="16"/>
      <w:szCs w:val="16"/>
    </w:rPr>
  </w:style>
  <w:style w:type="character" w:styleId="af3">
    <w:name w:val="page number"/>
    <w:basedOn w:val="a0"/>
    <w:uiPriority w:val="99"/>
    <w:qFormat/>
    <w:rsid w:val="00A565CC"/>
    <w:rPr>
      <w:rFonts w:cs="Times New Roman"/>
    </w:rPr>
  </w:style>
  <w:style w:type="character" w:customStyle="1" w:styleId="af4">
    <w:name w:val="Цветовое выделение"/>
    <w:uiPriority w:val="99"/>
    <w:qFormat/>
    <w:rsid w:val="00A565CC"/>
    <w:rPr>
      <w:b/>
      <w:color w:val="000080"/>
      <w:sz w:val="20"/>
    </w:rPr>
  </w:style>
  <w:style w:type="character" w:customStyle="1" w:styleId="23">
    <w:name w:val="Основной текст 2 Знак"/>
    <w:basedOn w:val="a0"/>
    <w:link w:val="24"/>
    <w:uiPriority w:val="99"/>
    <w:qFormat/>
    <w:rsid w:val="00A565CC"/>
    <w:rPr>
      <w:sz w:val="24"/>
      <w:szCs w:val="24"/>
    </w:rPr>
  </w:style>
  <w:style w:type="character" w:customStyle="1" w:styleId="11">
    <w:name w:val="Верхний колонтитул Знак1"/>
    <w:basedOn w:val="a0"/>
    <w:uiPriority w:val="99"/>
    <w:qFormat/>
    <w:rsid w:val="00A565CC"/>
    <w:rPr>
      <w:rFonts w:cs="Times New Roman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FD79E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25">
    <w:name w:val="Основной текст с отступом Знак2"/>
    <w:basedOn w:val="a0"/>
    <w:uiPriority w:val="99"/>
    <w:semiHidden/>
    <w:qFormat/>
    <w:rsid w:val="00FD79E6"/>
    <w:rPr>
      <w:rFonts w:cs="Times New Roman"/>
    </w:rPr>
  </w:style>
  <w:style w:type="character" w:customStyle="1" w:styleId="220">
    <w:name w:val="Основной текст с отступом Знак22"/>
    <w:basedOn w:val="a0"/>
    <w:uiPriority w:val="99"/>
    <w:semiHidden/>
    <w:qFormat/>
    <w:rsid w:val="00FD79E6"/>
    <w:rPr>
      <w:rFonts w:cs="Times New Roman"/>
    </w:rPr>
  </w:style>
  <w:style w:type="character" w:customStyle="1" w:styleId="210">
    <w:name w:val="Основной текст с отступом Знак21"/>
    <w:basedOn w:val="a0"/>
    <w:uiPriority w:val="99"/>
    <w:semiHidden/>
    <w:qFormat/>
    <w:rsid w:val="00FD79E6"/>
    <w:rPr>
      <w:rFonts w:cs="Times New Roman"/>
    </w:rPr>
  </w:style>
  <w:style w:type="character" w:customStyle="1" w:styleId="26">
    <w:name w:val="Верхний колонтитул Знак2"/>
    <w:basedOn w:val="a0"/>
    <w:uiPriority w:val="99"/>
    <w:qFormat/>
    <w:rsid w:val="00FD79E6"/>
  </w:style>
  <w:style w:type="character" w:customStyle="1" w:styleId="13">
    <w:name w:val="Сильное выделение1"/>
    <w:basedOn w:val="a0"/>
    <w:uiPriority w:val="21"/>
    <w:qFormat/>
    <w:rsid w:val="00FD79E6"/>
    <w:rPr>
      <w:b/>
      <w:bCs/>
      <w:i/>
      <w:iCs/>
      <w:color w:val="4F81BD"/>
    </w:rPr>
  </w:style>
  <w:style w:type="character" w:styleId="af5">
    <w:name w:val="Intense Emphasis"/>
    <w:basedOn w:val="a0"/>
    <w:uiPriority w:val="21"/>
    <w:qFormat/>
    <w:rsid w:val="00FD79E6"/>
    <w:rPr>
      <w:b/>
      <w:bCs/>
      <w:i/>
      <w:iCs/>
      <w:color w:val="4472C4" w:themeColor="accent1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515805"/>
  </w:style>
  <w:style w:type="character" w:customStyle="1" w:styleId="FootnoteCharacters">
    <w:name w:val="Footnote Characters"/>
    <w:basedOn w:val="a0"/>
    <w:uiPriority w:val="99"/>
    <w:semiHidden/>
    <w:unhideWhenUsed/>
    <w:qFormat/>
    <w:rsid w:val="00515805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link w:val="a3"/>
    <w:uiPriority w:val="99"/>
    <w:pPr>
      <w:jc w:val="center"/>
    </w:pPr>
    <w:rPr>
      <w:b/>
      <w:bCs/>
    </w:rPr>
  </w:style>
  <w:style w:type="paragraph" w:styleId="afa">
    <w:name w:val="List"/>
    <w:basedOn w:val="a4"/>
  </w:style>
  <w:style w:type="paragraph" w:styleId="afb">
    <w:name w:val="caption"/>
    <w:basedOn w:val="a"/>
    <w:next w:val="a"/>
    <w:qFormat/>
    <w:pPr>
      <w:jc w:val="center"/>
    </w:pPr>
    <w:rPr>
      <w:b/>
      <w:bCs/>
      <w:sz w:val="20"/>
      <w:szCs w:val="20"/>
      <w:lang w:val="en-US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ody Text Indent"/>
    <w:basedOn w:val="a"/>
    <w:link w:val="a5"/>
    <w:uiPriority w:val="99"/>
    <w:pPr>
      <w:ind w:firstLine="851"/>
      <w:jc w:val="both"/>
    </w:pPr>
    <w:rPr>
      <w:sz w:val="28"/>
      <w:szCs w:val="28"/>
    </w:rPr>
  </w:style>
  <w:style w:type="paragraph" w:customStyle="1" w:styleId="afc">
    <w:name w:val="Знак Знак Знак Знак"/>
    <w:basedOn w:val="a"/>
    <w:qFormat/>
    <w:rsid w:val="007C799C"/>
    <w:pPr>
      <w:spacing w:beforeAutospacing="1" w:afterAutospacing="1"/>
      <w:ind w:left="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HeaderandFooter">
    <w:name w:val="Header and Footer"/>
    <w:basedOn w:val="a"/>
    <w:qFormat/>
  </w:style>
  <w:style w:type="paragraph" w:styleId="a9">
    <w:name w:val="header"/>
    <w:basedOn w:val="a"/>
    <w:link w:val="a8"/>
    <w:uiPriority w:val="99"/>
    <w:unhideWhenUsed/>
    <w:rsid w:val="002103E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footer"/>
    <w:basedOn w:val="a"/>
    <w:link w:val="aa"/>
    <w:uiPriority w:val="99"/>
    <w:unhideWhenUsed/>
    <w:rsid w:val="002103E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d">
    <w:name w:val="Balloon Text"/>
    <w:basedOn w:val="a"/>
    <w:link w:val="ac"/>
    <w:uiPriority w:val="99"/>
    <w:unhideWhenUsed/>
    <w:qFormat/>
    <w:rsid w:val="00441AFF"/>
    <w:rPr>
      <w:rFonts w:ascii="Tahoma" w:hAnsi="Tahoma"/>
      <w:sz w:val="16"/>
      <w:szCs w:val="16"/>
      <w:lang w:val="x-none" w:eastAsia="x-none"/>
    </w:rPr>
  </w:style>
  <w:style w:type="paragraph" w:styleId="afd">
    <w:name w:val="No Spacing"/>
    <w:uiPriority w:val="1"/>
    <w:qFormat/>
    <w:rsid w:val="000432F5"/>
    <w:pPr>
      <w:ind w:left="561"/>
    </w:pPr>
    <w:rPr>
      <w:sz w:val="24"/>
      <w:szCs w:val="24"/>
    </w:rPr>
  </w:style>
  <w:style w:type="paragraph" w:styleId="af0">
    <w:name w:val="List Paragraph"/>
    <w:basedOn w:val="a"/>
    <w:link w:val="af"/>
    <w:uiPriority w:val="34"/>
    <w:qFormat/>
    <w:rsid w:val="00F23762"/>
    <w:pPr>
      <w:ind w:left="720" w:firstLine="720"/>
      <w:contextualSpacing/>
      <w:jc w:val="both"/>
    </w:pPr>
    <w:rPr>
      <w:rFonts w:ascii="Arial" w:eastAsiaTheme="minorHAnsi" w:hAnsi="Arial" w:cs="Arial"/>
      <w:lang w:eastAsia="en-US"/>
    </w:rPr>
  </w:style>
  <w:style w:type="paragraph" w:customStyle="1" w:styleId="Bodytext20">
    <w:name w:val="Body text (2)"/>
    <w:basedOn w:val="a"/>
    <w:link w:val="Bodytext2"/>
    <w:qFormat/>
    <w:rsid w:val="00F23762"/>
    <w:pPr>
      <w:widowControl w:val="0"/>
      <w:shd w:val="clear" w:color="auto" w:fill="FFFFFF"/>
      <w:spacing w:before="60" w:after="900" w:line="320" w:lineRule="exact"/>
      <w:ind w:left="0" w:hanging="360"/>
    </w:pPr>
    <w:rPr>
      <w:sz w:val="28"/>
      <w:szCs w:val="28"/>
    </w:rPr>
  </w:style>
  <w:style w:type="paragraph" w:customStyle="1" w:styleId="s1">
    <w:name w:val="s_1"/>
    <w:basedOn w:val="a"/>
    <w:uiPriority w:val="99"/>
    <w:qFormat/>
    <w:rsid w:val="000B3646"/>
    <w:pPr>
      <w:spacing w:beforeAutospacing="1" w:afterAutospacing="1"/>
      <w:ind w:left="0" w:firstLine="720"/>
      <w:jc w:val="both"/>
    </w:pPr>
    <w:rPr>
      <w:rFonts w:ascii="Arial" w:eastAsiaTheme="minorHAnsi" w:hAnsi="Arial" w:cs="Arial"/>
      <w:lang w:eastAsia="en-US"/>
    </w:rPr>
  </w:style>
  <w:style w:type="paragraph" w:customStyle="1" w:styleId="s16">
    <w:name w:val="s_16"/>
    <w:basedOn w:val="a"/>
    <w:qFormat/>
    <w:rsid w:val="00F06A90"/>
    <w:pPr>
      <w:spacing w:beforeAutospacing="1" w:afterAutospacing="1"/>
      <w:ind w:left="0"/>
    </w:pPr>
  </w:style>
  <w:style w:type="paragraph" w:customStyle="1" w:styleId="empty">
    <w:name w:val="empty"/>
    <w:basedOn w:val="a"/>
    <w:qFormat/>
    <w:rsid w:val="00F06A90"/>
    <w:pPr>
      <w:spacing w:beforeAutospacing="1" w:afterAutospacing="1"/>
      <w:ind w:left="0"/>
    </w:pPr>
  </w:style>
  <w:style w:type="paragraph" w:styleId="22">
    <w:name w:val="Body Text Indent 2"/>
    <w:basedOn w:val="a"/>
    <w:link w:val="21"/>
    <w:uiPriority w:val="99"/>
    <w:qFormat/>
    <w:rsid w:val="00A565CC"/>
    <w:pPr>
      <w:ind w:left="0"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"/>
    <w:uiPriority w:val="99"/>
    <w:qFormat/>
    <w:rsid w:val="00A565CC"/>
    <w:pPr>
      <w:spacing w:after="120"/>
      <w:ind w:left="283"/>
      <w:jc w:val="both"/>
    </w:pPr>
    <w:rPr>
      <w:sz w:val="16"/>
      <w:szCs w:val="16"/>
    </w:rPr>
  </w:style>
  <w:style w:type="paragraph" w:styleId="32">
    <w:name w:val="Body Text 3"/>
    <w:basedOn w:val="a"/>
    <w:link w:val="31"/>
    <w:uiPriority w:val="99"/>
    <w:qFormat/>
    <w:rsid w:val="00A565CC"/>
    <w:pPr>
      <w:spacing w:after="120"/>
      <w:ind w:left="0"/>
      <w:jc w:val="both"/>
    </w:pPr>
    <w:rPr>
      <w:sz w:val="16"/>
      <w:szCs w:val="16"/>
    </w:rPr>
  </w:style>
  <w:style w:type="paragraph" w:customStyle="1" w:styleId="afe">
    <w:name w:val="Заголовок статьи"/>
    <w:basedOn w:val="a"/>
    <w:next w:val="a"/>
    <w:uiPriority w:val="99"/>
    <w:qFormat/>
    <w:rsid w:val="00A565CC"/>
    <w:pPr>
      <w:widowControl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xl26">
    <w:name w:val="xl26"/>
    <w:basedOn w:val="a"/>
    <w:uiPriority w:val="99"/>
    <w:qFormat/>
    <w:rsid w:val="00A565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rFonts w:eastAsia="Arial Unicode MS"/>
      <w:b/>
      <w:bCs/>
    </w:rPr>
  </w:style>
  <w:style w:type="paragraph" w:customStyle="1" w:styleId="ConsPlusTitle">
    <w:name w:val="ConsPlusTitle"/>
    <w:qFormat/>
    <w:rsid w:val="00A565CC"/>
    <w:pPr>
      <w:widowControl w:val="0"/>
      <w:jc w:val="both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qFormat/>
    <w:rsid w:val="00A565CC"/>
    <w:pPr>
      <w:jc w:val="both"/>
    </w:pPr>
    <w:rPr>
      <w:rFonts w:ascii="Courier New" w:hAnsi="Courier New" w:cs="Courier New"/>
    </w:rPr>
  </w:style>
  <w:style w:type="paragraph" w:customStyle="1" w:styleId="211">
    <w:name w:val="Основной текст 21"/>
    <w:basedOn w:val="a"/>
    <w:uiPriority w:val="99"/>
    <w:qFormat/>
    <w:rsid w:val="00A565CC"/>
    <w:pPr>
      <w:widowControl w:val="0"/>
      <w:spacing w:line="360" w:lineRule="auto"/>
      <w:ind w:left="0" w:firstLine="709"/>
      <w:jc w:val="both"/>
    </w:pPr>
    <w:rPr>
      <w:szCs w:val="20"/>
    </w:rPr>
  </w:style>
  <w:style w:type="paragraph" w:styleId="24">
    <w:name w:val="Body Text 2"/>
    <w:basedOn w:val="a"/>
    <w:link w:val="23"/>
    <w:uiPriority w:val="99"/>
    <w:qFormat/>
    <w:rsid w:val="00A565CC"/>
    <w:pPr>
      <w:spacing w:after="120" w:line="480" w:lineRule="auto"/>
      <w:ind w:left="0"/>
      <w:jc w:val="both"/>
    </w:pPr>
  </w:style>
  <w:style w:type="paragraph" w:customStyle="1" w:styleId="aff">
    <w:name w:val="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7">
    <w:name w:val="Знак Знак Знак Знак Знак Знак2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 Знак Знак Знак Знак Знак Знак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 Знак Знак Знак1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qFormat/>
    <w:rsid w:val="00A565CC"/>
    <w:pPr>
      <w:jc w:val="both"/>
    </w:pPr>
    <w:rPr>
      <w:rFonts w:ascii="Arial" w:hAnsi="Arial" w:cs="Arial"/>
      <w:lang w:eastAsia="en-US"/>
    </w:rPr>
  </w:style>
  <w:style w:type="paragraph" w:customStyle="1" w:styleId="33">
    <w:name w:val="Знак3 Знак Знак Знак Знак Знак Знак Знак Знак Знак Знак Знак Знак"/>
    <w:basedOn w:val="a"/>
    <w:uiPriority w:val="99"/>
    <w:qFormat/>
    <w:rsid w:val="00A565CC"/>
    <w:pPr>
      <w:ind w:left="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Основной текст с отступом.Надин стиль1"/>
    <w:basedOn w:val="a"/>
    <w:uiPriority w:val="99"/>
    <w:qFormat/>
    <w:rsid w:val="00A565CC"/>
    <w:pPr>
      <w:ind w:left="0" w:firstLine="567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uiPriority w:val="99"/>
    <w:qFormat/>
    <w:rsid w:val="00A565CC"/>
    <w:pPr>
      <w:ind w:left="0" w:firstLine="567"/>
      <w:jc w:val="both"/>
      <w:textAlignment w:val="baseline"/>
    </w:pPr>
    <w:rPr>
      <w:sz w:val="28"/>
      <w:szCs w:val="20"/>
    </w:rPr>
  </w:style>
  <w:style w:type="paragraph" w:customStyle="1" w:styleId="18">
    <w:name w:val="Верхний колонтитул1"/>
    <w:basedOn w:val="a"/>
    <w:next w:val="a9"/>
    <w:uiPriority w:val="99"/>
    <w:unhideWhenUsed/>
    <w:qFormat/>
    <w:rsid w:val="00A565CC"/>
    <w:pPr>
      <w:tabs>
        <w:tab w:val="center" w:pos="4677"/>
        <w:tab w:val="right" w:pos="9355"/>
      </w:tabs>
      <w:ind w:left="0"/>
      <w:jc w:val="both"/>
    </w:pPr>
    <w:rPr>
      <w:rFonts w:ascii="Calibri" w:hAnsi="Calibri"/>
      <w:sz w:val="28"/>
      <w:szCs w:val="28"/>
      <w:lang w:eastAsia="en-US"/>
    </w:rPr>
  </w:style>
  <w:style w:type="paragraph" w:styleId="19">
    <w:name w:val="toc 1"/>
    <w:basedOn w:val="a"/>
    <w:next w:val="a"/>
    <w:autoRedefine/>
    <w:uiPriority w:val="39"/>
    <w:unhideWhenUsed/>
    <w:qFormat/>
    <w:rsid w:val="00A565CC"/>
    <w:pPr>
      <w:ind w:left="0"/>
      <w:jc w:val="both"/>
    </w:pPr>
    <w:rPr>
      <w:rFonts w:ascii="Calibri" w:hAnsi="Calibri"/>
      <w:sz w:val="28"/>
      <w:szCs w:val="28"/>
      <w:lang w:eastAsia="en-US"/>
    </w:rPr>
  </w:style>
  <w:style w:type="paragraph" w:customStyle="1" w:styleId="ConsPlusNormal">
    <w:name w:val="ConsPlusNormal"/>
    <w:uiPriority w:val="99"/>
    <w:qFormat/>
    <w:rsid w:val="00A565CC"/>
    <w:pPr>
      <w:jc w:val="both"/>
    </w:pPr>
    <w:rPr>
      <w:sz w:val="28"/>
      <w:szCs w:val="28"/>
    </w:rPr>
  </w:style>
  <w:style w:type="paragraph" w:customStyle="1" w:styleId="aff5">
    <w:name w:val="Прижатый влево"/>
    <w:basedOn w:val="a"/>
    <w:next w:val="a"/>
    <w:uiPriority w:val="99"/>
    <w:qFormat/>
    <w:rsid w:val="00A565CC"/>
    <w:pPr>
      <w:ind w:left="0"/>
      <w:jc w:val="both"/>
    </w:pPr>
    <w:rPr>
      <w:rFonts w:ascii="Arial" w:hAnsi="Arial" w:cs="Arial"/>
    </w:rPr>
  </w:style>
  <w:style w:type="paragraph" w:styleId="aff6">
    <w:name w:val="Normal (Web)"/>
    <w:basedOn w:val="a"/>
    <w:uiPriority w:val="99"/>
    <w:qFormat/>
    <w:rsid w:val="00A565CC"/>
    <w:pPr>
      <w:spacing w:beforeAutospacing="1" w:afterAutospacing="1"/>
      <w:ind w:left="0" w:firstLine="405"/>
      <w:jc w:val="both"/>
    </w:pPr>
    <w:rPr>
      <w:rFonts w:ascii="Tahoma" w:hAnsi="Tahoma" w:cs="Tahoma"/>
      <w:sz w:val="17"/>
      <w:szCs w:val="17"/>
    </w:rPr>
  </w:style>
  <w:style w:type="paragraph" w:customStyle="1" w:styleId="Default">
    <w:name w:val="Default"/>
    <w:qFormat/>
    <w:rsid w:val="00A565CC"/>
    <w:pPr>
      <w:jc w:val="both"/>
    </w:pPr>
    <w:rPr>
      <w:color w:val="000000"/>
      <w:sz w:val="24"/>
      <w:szCs w:val="24"/>
      <w:lang w:eastAsia="en-US"/>
    </w:rPr>
  </w:style>
  <w:style w:type="paragraph" w:customStyle="1" w:styleId="aff7">
    <w:name w:val="Комментарий"/>
    <w:basedOn w:val="a"/>
    <w:next w:val="a"/>
    <w:uiPriority w:val="99"/>
    <w:qFormat/>
    <w:rsid w:val="00A565CC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en-US"/>
    </w:rPr>
  </w:style>
  <w:style w:type="paragraph" w:customStyle="1" w:styleId="aff8">
    <w:name w:val="Информация об изменениях документа"/>
    <w:basedOn w:val="aff7"/>
    <w:next w:val="a"/>
    <w:uiPriority w:val="99"/>
    <w:qFormat/>
    <w:rsid w:val="00A565CC"/>
    <w:rPr>
      <w:i/>
      <w:iCs/>
    </w:rPr>
  </w:style>
  <w:style w:type="paragraph" w:customStyle="1" w:styleId="1a">
    <w:name w:val="Основной текст с отступом Знак Знак Знак Знак1"/>
    <w:basedOn w:val="a"/>
    <w:next w:val="a6"/>
    <w:uiPriority w:val="99"/>
    <w:semiHidden/>
    <w:unhideWhenUsed/>
    <w:qFormat/>
    <w:rsid w:val="00FD79E6"/>
    <w:pPr>
      <w:spacing w:after="120"/>
      <w:ind w:left="283"/>
      <w:jc w:val="both"/>
    </w:pPr>
    <w:rPr>
      <w:lang w:eastAsia="en-US"/>
    </w:rPr>
  </w:style>
  <w:style w:type="paragraph" w:styleId="af7">
    <w:name w:val="footnote text"/>
    <w:basedOn w:val="a"/>
    <w:link w:val="af6"/>
    <w:uiPriority w:val="99"/>
    <w:semiHidden/>
    <w:unhideWhenUsed/>
    <w:rsid w:val="00515805"/>
    <w:rPr>
      <w:sz w:val="20"/>
      <w:szCs w:val="20"/>
    </w:rPr>
  </w:style>
  <w:style w:type="numbering" w:customStyle="1" w:styleId="1b">
    <w:name w:val="Нет списка1"/>
    <w:uiPriority w:val="99"/>
    <w:semiHidden/>
    <w:unhideWhenUsed/>
    <w:qFormat/>
    <w:rsid w:val="00FD79E6"/>
  </w:style>
  <w:style w:type="table" w:styleId="aff9">
    <w:name w:val="Table Grid"/>
    <w:basedOn w:val="a1"/>
    <w:uiPriority w:val="59"/>
    <w:rsid w:val="00063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99"/>
    <w:rsid w:val="00FD79E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FD7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ren.spalata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606B-28FF-488A-8D13-ECBB5C7A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17953</Words>
  <Characters>102338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УРМФ</Company>
  <LinksUpToDate>false</LinksUpToDate>
  <CharactersWithSpaces>120051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econom_1</dc:creator>
  <cp:lastModifiedBy>Митяков Артём Владимирович</cp:lastModifiedBy>
  <cp:revision>2</cp:revision>
  <cp:lastPrinted>2025-05-23T04:11:00Z</cp:lastPrinted>
  <dcterms:created xsi:type="dcterms:W3CDTF">2025-05-26T07:30:00Z</dcterms:created>
  <dcterms:modified xsi:type="dcterms:W3CDTF">2025-05-26T07:30:00Z</dcterms:modified>
  <dc:language>ru-RU</dc:language>
</cp:coreProperties>
</file>